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100" w:before="200"/>
        <w:jc w:val="center"/>
      </w:pPr>
      <w:r>
        <w:rPr>
          <w:rFonts w:ascii="Arial" w:cs="Arial" w:eastAsia="Arial" w:hAnsi="Arial"/>
          <w:b/>
          <w:bCs/>
          <w:caps/>
          <w:color w:val="1F4E79"/>
          <w:sz w:val="28"/>
          <w:szCs w:val="28"/>
        </w:rPr>
        <w:t xml:space="preserve">SISTEM MANAJEMEN KEAMANAN INFORMASI</w:t>
      </w:r>
    </w:p>
    <w:p>
      <w:pPr>
        <w:spacing w:after="80" w:before="80"/>
        <w:jc w:val="center"/>
      </w:pPr>
      <w:r>
        <w:rPr>
          <w:rFonts w:ascii="Arial" w:cs="Arial" w:eastAsia="Arial" w:hAnsi="Arial"/>
          <w:color w:val="2E75B6"/>
          <w:sz w:val="24"/>
          <w:szCs w:val="24"/>
        </w:rPr>
        <w:t xml:space="preserve">ISO/IEC 27001:2022</w:t>
      </w:r>
    </w:p>
    <w:p>
      <w:pPr>
        <w:pBdr>
          <w:bottom w:val="single" w:color="2E75B6" w:sz="6" w:space="1"/>
        </w:pBdr>
        <w:spacing w:after="120" w:before="120"/>
      </w:pPr>
    </w:p>
    <w:p>
      <w:pPr>
        <w:spacing w:after="200" w:before="300"/>
        <w:jc w:val="center"/>
      </w:pPr>
      <w:r>
        <w:rPr>
          <w:rFonts w:ascii="Arial" w:cs="Arial" w:eastAsia="Arial" w:hAnsi="Arial"/>
          <w:b/>
          <w:bCs/>
          <w:caps/>
          <w:color w:val="1F4E79"/>
          <w:sz w:val="36"/>
          <w:szCs w:val="36"/>
        </w:rPr>
        <w:t xml:space="preserve">KEBIJAKAN KEAMANAN RANTAI PASOK</w:t>
      </w:r>
    </w:p>
    <w:p>
      <w:pPr>
        <w:spacing w:after="100" w:before="100"/>
        <w:jc w:val="center"/>
      </w:pPr>
      <w:r>
        <w:rPr>
          <w:rFonts w:ascii="Arial" w:cs="Arial" w:eastAsia="Arial" w:hAnsi="Arial"/>
          <w:i/>
          <w:iCs/>
          <w:color w:val="595959"/>
          <w:sz w:val="26"/>
          <w:szCs w:val="26"/>
        </w:rPr>
        <w:t xml:space="preserve">SUPPLY CHAIN SECURITY POLICY</w:t>
      </w:r>
    </w:p>
    <w:p>
      <w:pPr>
        <w:spacing w:before="300"/>
      </w:pP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tblGrid>
      <w:tr>
        <w:tc>
          <w:tcPr>
            <w:tcW w:type="dxa" w:w="25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INFORMASI DOKUMEN</w:t>
            </w:r>
          </w:p>
        </w:tc>
        <w:tc>
          <w:tcPr>
            <w:tcW w:type="dxa" w:w="45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Nomor Dokumen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ISMS-POL-SC-001</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Versi</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Tanggal Berlaku</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Maret 2026</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Klasifikasi</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RAHASIA - INTERNAL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Pemilik Dokumen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Chief Information Security Officer (CISO)</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Disetujui oleh</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Direktur Utama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Referensi Standar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ISO/IEC 27001:2022 - Annex A 5.19, 5.20, 5.21, 5.22, 5.23</w:t>
            </w:r>
          </w:p>
        </w:tc>
      </w:tr>
    </w:tbl>
    <w:p>
      <w:r>
        <w:br w:type="page"/>
      </w:r>
    </w:p>
    <w:p>
      <w:pPr>
        <w:pStyle w:val="Heading1"/>
        <w:spacing w:after="120" w:before="320"/>
      </w:pPr>
      <w:r>
        <w:rPr>
          <w:rFonts w:ascii="Arial" w:cs="Arial" w:eastAsia="Arial" w:hAnsi="Arial"/>
          <w:b/>
          <w:bCs/>
          <w:color w:val="1F4E79"/>
          <w:sz w:val="28"/>
          <w:szCs w:val="28"/>
        </w:rPr>
        <w:t xml:space="preserve">1. TUJUAN</w:t>
      </w:r>
    </w:p>
    <w:p>
      <w:pPr>
        <w:spacing w:after="60" w:before="60"/>
      </w:pPr>
      <w:r>
        <w:rPr>
          <w:rFonts w:ascii="Arial" w:cs="Arial" w:eastAsia="Arial" w:hAnsi="Arial"/>
          <w:sz w:val="22"/>
          <w:szCs w:val="22"/>
        </w:rPr>
        <w:t xml:space="preserve">Kebijakan ini bertujuan untuk menetapkan persyaratan keamanan informasi dalam pengelolaan rantai pasok (supply chain) organisasi, guna melindungi aset informasi dari risiko yang ditimbulkan oleh pihak ketiga, pemasok, vendor, mitra bisnis, dan penyedia layanan.</w:t>
      </w:r>
    </w:p>
    <w:p>
      <w:pPr>
        <w:spacing w:after="60" w:before="60"/>
      </w:pPr>
      <w:r>
        <w:rPr>
          <w:rFonts w:ascii="Arial" w:cs="Arial" w:eastAsia="Arial" w:hAnsi="Arial"/>
          <w:sz w:val="22"/>
          <w:szCs w:val="22"/>
        </w:rPr>
        <w:t xml:space="preserve">Kebijakan ini mendukung implementasi ISO/IEC 27001:2022 khususnya kontrol pada Annex A klausul 5.19 hingga 5.23 yang berkaitan dengan keamanan rantai pasok.</w:t>
      </w:r>
    </w:p>
    <w:p>
      <w:pPr>
        <w:pStyle w:val="Heading1"/>
        <w:spacing w:after="120" w:before="320"/>
      </w:pPr>
      <w:r>
        <w:rPr>
          <w:rFonts w:ascii="Arial" w:cs="Arial" w:eastAsia="Arial" w:hAnsi="Arial"/>
          <w:b/>
          <w:bCs/>
          <w:color w:val="1F4E79"/>
          <w:sz w:val="28"/>
          <w:szCs w:val="28"/>
        </w:rPr>
        <w:t xml:space="preserve">2. RUANG LINGKUP</w:t>
      </w:r>
    </w:p>
    <w:p>
      <w:pPr>
        <w:spacing w:after="60" w:before="60"/>
      </w:pPr>
      <w:r>
        <w:rPr>
          <w:rFonts w:ascii="Arial" w:cs="Arial" w:eastAsia="Arial" w:hAnsi="Arial"/>
          <w:sz w:val="22"/>
          <w:szCs w:val="22"/>
        </w:rPr>
        <w:t xml:space="preserve">Kebijakan ini berlaku untuk:</w:t>
      </w:r>
    </w:p>
    <w:p>
      <w:pPr>
        <w:pStyle w:val="ListParagraph"/>
        <w:numPr>
          <w:ilvl w:val="0"/>
          <w:numId w:val="2"/>
        </w:numPr>
        <w:spacing w:after="40" w:before="40"/>
      </w:pPr>
      <w:r>
        <w:rPr>
          <w:rFonts w:ascii="Arial" w:cs="Arial" w:eastAsia="Arial" w:hAnsi="Arial"/>
          <w:sz w:val="22"/>
          <w:szCs w:val="22"/>
        </w:rPr>
        <w:t xml:space="preserve">Seluruh pihak ketiga yang memiliki akses ke sistem informasi, jaringan, atau data organisasi</w:t>
      </w:r>
    </w:p>
    <w:p>
      <w:pPr>
        <w:pStyle w:val="ListParagraph"/>
        <w:numPr>
          <w:ilvl w:val="0"/>
          <w:numId w:val="2"/>
        </w:numPr>
        <w:spacing w:after="40" w:before="40"/>
      </w:pPr>
      <w:r>
        <w:rPr>
          <w:rFonts w:ascii="Arial" w:cs="Arial" w:eastAsia="Arial" w:hAnsi="Arial"/>
          <w:sz w:val="22"/>
          <w:szCs w:val="22"/>
        </w:rPr>
        <w:t xml:space="preserve">Pemasok produk dan layanan teknologi informasi (hardware, software, layanan cloud)</w:t>
      </w:r>
    </w:p>
    <w:p>
      <w:pPr>
        <w:pStyle w:val="ListParagraph"/>
        <w:numPr>
          <w:ilvl w:val="0"/>
          <w:numId w:val="2"/>
        </w:numPr>
        <w:spacing w:after="40" w:before="40"/>
      </w:pPr>
      <w:r>
        <w:rPr>
          <w:rFonts w:ascii="Arial" w:cs="Arial" w:eastAsia="Arial" w:hAnsi="Arial"/>
          <w:sz w:val="22"/>
          <w:szCs w:val="22"/>
        </w:rPr>
        <w:t xml:space="preserve">Vendor, kontraktor, dan mitra bisnis yang terlibat dalam proses operasional</w:t>
      </w:r>
    </w:p>
    <w:p>
      <w:pPr>
        <w:pStyle w:val="ListParagraph"/>
        <w:numPr>
          <w:ilvl w:val="0"/>
          <w:numId w:val="2"/>
        </w:numPr>
        <w:spacing w:after="40" w:before="40"/>
      </w:pPr>
      <w:r>
        <w:rPr>
          <w:rFonts w:ascii="Arial" w:cs="Arial" w:eastAsia="Arial" w:hAnsi="Arial"/>
          <w:sz w:val="22"/>
          <w:szCs w:val="22"/>
        </w:rPr>
        <w:t xml:space="preserve">Penyedia layanan yang dialihdayakan (outsourcing) termasuk layanan cloud computing</w:t>
      </w:r>
    </w:p>
    <w:p>
      <w:pPr>
        <w:pStyle w:val="ListParagraph"/>
        <w:numPr>
          <w:ilvl w:val="0"/>
          <w:numId w:val="2"/>
        </w:numPr>
        <w:spacing w:after="40" w:before="40"/>
      </w:pPr>
      <w:r>
        <w:rPr>
          <w:rFonts w:ascii="Arial" w:cs="Arial" w:eastAsia="Arial" w:hAnsi="Arial"/>
          <w:sz w:val="22"/>
          <w:szCs w:val="22"/>
        </w:rPr>
        <w:t xml:space="preserve">Seluruh karyawan yang berinteraksi dengan pihak ketiga atas nama organisasi</w:t>
      </w:r>
    </w:p>
    <w:p>
      <w:pPr>
        <w:pStyle w:val="ListParagraph"/>
        <w:numPr>
          <w:ilvl w:val="0"/>
          <w:numId w:val="2"/>
        </w:numPr>
        <w:spacing w:after="40" w:before="40"/>
      </w:pPr>
      <w:r>
        <w:rPr>
          <w:rFonts w:ascii="Arial" w:cs="Arial" w:eastAsia="Arial" w:hAnsi="Arial"/>
          <w:sz w:val="22"/>
          <w:szCs w:val="22"/>
        </w:rPr>
        <w:t xml:space="preserve">Seluruh unit kerja yang menggunakan produk atau layanan dari pihak ketiga</w:t>
      </w:r>
    </w:p>
    <w:p>
      <w:pPr>
        <w:pStyle w:val="Heading1"/>
        <w:spacing w:after="120" w:before="320"/>
      </w:pPr>
      <w:r>
        <w:rPr>
          <w:rFonts w:ascii="Arial" w:cs="Arial" w:eastAsia="Arial" w:hAnsi="Arial"/>
          <w:b/>
          <w:bCs/>
          <w:color w:val="1F4E79"/>
          <w:sz w:val="28"/>
          <w:szCs w:val="28"/>
        </w:rPr>
        <w:t xml:space="preserve">3. DEFINISI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ISTILAH</w:t>
            </w:r>
          </w:p>
        </w:tc>
        <w:tc>
          <w:tcPr>
            <w:tcW w:type="dxa" w:w="6226"/>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DEFINISI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Rantai Pasok (Supply Chain)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Rangkaian proses, entitas, dan hubungan yang terlibat dalam pengadaan, pengembangan, produksi, dan pengiriman produk atau layanan kepada organisasi</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Pemasok / Vendor</w:t>
            </w:r>
          </w:p>
        </w:tc>
        <w:tc>
          <w:tcPr>
            <w:tcW w:type="dxa" w:w="6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Organisasi atau individu yang menyediakan produk, komponen, atau layanan kepada organisasi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Pihak Ketiga</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Entitas di luar organisasi yang memiliki hubungan bisnis atau kontraktual dengan organisasi</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Risiko Rantai Pasok</w:t>
            </w:r>
          </w:p>
        </w:tc>
        <w:tc>
          <w:tcPr>
            <w:tcW w:type="dxa" w:w="6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Potensi ancaman terhadap keamanan informasi yang timbul dari hubungan dengan pemasok dan pihak ketiga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Perjanjian Tingkat Layanan (SLA)</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Kontrak formal yang mendefinisikan tingkat layanan yang diharapkan dari pemasok</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NDA (Non-Disclosure Agreement)</w:t>
            </w:r>
          </w:p>
        </w:tc>
        <w:tc>
          <w:tcPr>
            <w:tcW w:type="dxa" w:w="6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Perjanjian kerahasiaan yang mengikat pihak ketiga untuk menjaga kerahasiaan informasi organisasi</w:t>
            </w:r>
          </w:p>
        </w:tc>
      </w:tr>
    </w:tbl>
    <w:p>
      <w:pPr>
        <w:pStyle w:val="Heading1"/>
        <w:spacing w:after="120" w:before="320"/>
      </w:pPr>
      <w:r>
        <w:rPr>
          <w:rFonts w:ascii="Arial" w:cs="Arial" w:eastAsia="Arial" w:hAnsi="Arial"/>
          <w:b/>
          <w:bCs/>
          <w:color w:val="1F4E79"/>
          <w:sz w:val="28"/>
          <w:szCs w:val="28"/>
        </w:rPr>
        <w:t xml:space="preserve">4. PRINSIP KEBIJAKAN</w:t>
      </w:r>
    </w:p>
    <w:p>
      <w:pPr>
        <w:pStyle w:val="Heading2"/>
        <w:spacing w:after="80" w:before="240"/>
      </w:pPr>
      <w:r>
        <w:rPr>
          <w:rFonts w:ascii="Arial" w:cs="Arial" w:eastAsia="Arial" w:hAnsi="Arial"/>
          <w:b/>
          <w:bCs/>
          <w:color w:val="2E75B6"/>
          <w:sz w:val="24"/>
          <w:szCs w:val="24"/>
        </w:rPr>
        <w:t xml:space="preserve">4.1 Identifikasi dan Klasifikasi Pemasok</w:t>
      </w:r>
    </w:p>
    <w:p>
      <w:pPr>
        <w:spacing w:after="60" w:before="60"/>
      </w:pPr>
      <w:r>
        <w:rPr>
          <w:rFonts w:ascii="Arial" w:cs="Arial" w:eastAsia="Arial" w:hAnsi="Arial"/>
          <w:sz w:val="22"/>
          <w:szCs w:val="22"/>
        </w:rPr>
        <w:t xml:space="preserve">Organisasi wajib mengidentifikasi dan mengklasifikasikan seluruh pemasok berdasarkan tingkat risiko keamanan informasi yang ditimbulkan. Klasifikasi dilakukan berdasarkan:</w:t>
      </w:r>
    </w:p>
    <w:p>
      <w:pPr>
        <w:pStyle w:val="ListParagraph"/>
        <w:numPr>
          <w:ilvl w:val="0"/>
          <w:numId w:val="2"/>
        </w:numPr>
        <w:spacing w:after="40" w:before="40"/>
      </w:pPr>
      <w:r>
        <w:rPr>
          <w:rFonts w:ascii="Arial" w:cs="Arial" w:eastAsia="Arial" w:hAnsi="Arial"/>
          <w:sz w:val="22"/>
          <w:szCs w:val="22"/>
        </w:rPr>
        <w:t xml:space="preserve">Jenis dan sensitivitas informasi yang dapat diakses oleh pemasok</w:t>
      </w:r>
    </w:p>
    <w:p>
      <w:pPr>
        <w:pStyle w:val="ListParagraph"/>
        <w:numPr>
          <w:ilvl w:val="0"/>
          <w:numId w:val="2"/>
        </w:numPr>
        <w:spacing w:after="40" w:before="40"/>
      </w:pPr>
      <w:r>
        <w:rPr>
          <w:rFonts w:ascii="Arial" w:cs="Arial" w:eastAsia="Arial" w:hAnsi="Arial"/>
          <w:sz w:val="22"/>
          <w:szCs w:val="22"/>
        </w:rPr>
        <w:t xml:space="preserve">Tingkat ketergantungan organisasi terhadap layanan pemasok</w:t>
      </w:r>
    </w:p>
    <w:p>
      <w:pPr>
        <w:pStyle w:val="ListParagraph"/>
        <w:numPr>
          <w:ilvl w:val="0"/>
          <w:numId w:val="2"/>
        </w:numPr>
        <w:spacing w:after="40" w:before="40"/>
      </w:pPr>
      <w:r>
        <w:rPr>
          <w:rFonts w:ascii="Arial" w:cs="Arial" w:eastAsia="Arial" w:hAnsi="Arial"/>
          <w:sz w:val="22"/>
          <w:szCs w:val="22"/>
        </w:rPr>
        <w:t xml:space="preserve">Akses fisik atau logis yang diberikan kepada pemasok</w:t>
      </w:r>
    </w:p>
    <w:p>
      <w:pPr>
        <w:pStyle w:val="ListParagraph"/>
        <w:numPr>
          <w:ilvl w:val="0"/>
          <w:numId w:val="2"/>
        </w:numPr>
        <w:spacing w:after="40" w:before="40"/>
      </w:pPr>
      <w:r>
        <w:rPr>
          <w:rFonts w:ascii="Arial" w:cs="Arial" w:eastAsia="Arial" w:hAnsi="Arial"/>
          <w:sz w:val="22"/>
          <w:szCs w:val="22"/>
        </w:rPr>
        <w:t xml:space="preserve">Dampak potensial jika terjadi insiden keamanan terkait pemasok</w:t>
      </w:r>
    </w:p>
    <w:p>
      <w:pPr>
        <w:pStyle w:val="Heading2"/>
        <w:spacing w:after="80" w:before="240"/>
      </w:pPr>
      <w:r>
        <w:rPr>
          <w:rFonts w:ascii="Arial" w:cs="Arial" w:eastAsia="Arial" w:hAnsi="Arial"/>
          <w:b/>
          <w:bCs/>
          <w:color w:val="2E75B6"/>
          <w:sz w:val="24"/>
          <w:szCs w:val="24"/>
        </w:rPr>
        <w:t xml:space="preserve">4.2 Persyaratan Keamanan dalam Kontrak</w:t>
      </w:r>
    </w:p>
    <w:p>
      <w:pPr>
        <w:spacing w:after="60" w:before="60"/>
      </w:pPr>
      <w:r>
        <w:rPr>
          <w:rFonts w:ascii="Arial" w:cs="Arial" w:eastAsia="Arial" w:hAnsi="Arial"/>
          <w:sz w:val="22"/>
          <w:szCs w:val="22"/>
        </w:rPr>
        <w:t xml:space="preserve">Setiap perjanjian dengan pemasok yang memiliki akses ke aset informasi organisasi HARUS mencakup ketentuan keamanan informasi sebagai berikut:</w:t>
      </w:r>
    </w:p>
    <w:p>
      <w:pPr>
        <w:pStyle w:val="ListParagraph"/>
        <w:numPr>
          <w:ilvl w:val="0"/>
          <w:numId w:val="2"/>
        </w:numPr>
        <w:spacing w:after="40" w:before="40"/>
      </w:pPr>
      <w:r>
        <w:rPr>
          <w:rFonts w:ascii="Arial" w:cs="Arial" w:eastAsia="Arial" w:hAnsi="Arial"/>
          <w:sz w:val="22"/>
          <w:szCs w:val="22"/>
        </w:rPr>
        <w:t xml:space="preserve">Kewajiban menjaga kerahasiaan dan perlindungan data (NDA/kerahasiaan)</w:t>
      </w:r>
    </w:p>
    <w:p>
      <w:pPr>
        <w:pStyle w:val="ListParagraph"/>
        <w:numPr>
          <w:ilvl w:val="0"/>
          <w:numId w:val="2"/>
        </w:numPr>
        <w:spacing w:after="40" w:before="40"/>
      </w:pPr>
      <w:r>
        <w:rPr>
          <w:rFonts w:ascii="Arial" w:cs="Arial" w:eastAsia="Arial" w:hAnsi="Arial"/>
          <w:sz w:val="22"/>
          <w:szCs w:val="22"/>
        </w:rPr>
        <w:t xml:space="preserve">Persyaratan kepatuhan terhadap kebijakan keamanan informasi organisasi</w:t>
      </w:r>
    </w:p>
    <w:p>
      <w:pPr>
        <w:pStyle w:val="ListParagraph"/>
        <w:numPr>
          <w:ilvl w:val="0"/>
          <w:numId w:val="2"/>
        </w:numPr>
        <w:spacing w:after="40" w:before="40"/>
      </w:pPr>
      <w:r>
        <w:rPr>
          <w:rFonts w:ascii="Arial" w:cs="Arial" w:eastAsia="Arial" w:hAnsi="Arial"/>
          <w:sz w:val="22"/>
          <w:szCs w:val="22"/>
        </w:rPr>
        <w:t xml:space="preserve">Hak audit organisasi terhadap praktik keamanan pemasok</w:t>
      </w:r>
    </w:p>
    <w:p>
      <w:pPr>
        <w:pStyle w:val="ListParagraph"/>
        <w:numPr>
          <w:ilvl w:val="0"/>
          <w:numId w:val="2"/>
        </w:numPr>
        <w:spacing w:after="40" w:before="40"/>
      </w:pPr>
      <w:r>
        <w:rPr>
          <w:rFonts w:ascii="Arial" w:cs="Arial" w:eastAsia="Arial" w:hAnsi="Arial"/>
          <w:sz w:val="22"/>
          <w:szCs w:val="22"/>
        </w:rPr>
        <w:t xml:space="preserve">Prosedur pelaporan insiden keamanan dan pelanggaran data</w:t>
      </w:r>
    </w:p>
    <w:p>
      <w:pPr>
        <w:pStyle w:val="ListParagraph"/>
        <w:numPr>
          <w:ilvl w:val="0"/>
          <w:numId w:val="2"/>
        </w:numPr>
        <w:spacing w:after="40" w:before="40"/>
      </w:pPr>
      <w:r>
        <w:rPr>
          <w:rFonts w:ascii="Arial" w:cs="Arial" w:eastAsia="Arial" w:hAnsi="Arial"/>
          <w:sz w:val="22"/>
          <w:szCs w:val="22"/>
        </w:rPr>
        <w:t xml:space="preserve">Ketentuan pengembalian atau pemusnahan data saat kontrak berakhir</w:t>
      </w:r>
    </w:p>
    <w:p>
      <w:pPr>
        <w:pStyle w:val="ListParagraph"/>
        <w:numPr>
          <w:ilvl w:val="0"/>
          <w:numId w:val="2"/>
        </w:numPr>
        <w:spacing w:after="40" w:before="40"/>
      </w:pPr>
      <w:r>
        <w:rPr>
          <w:rFonts w:ascii="Arial" w:cs="Arial" w:eastAsia="Arial" w:hAnsi="Arial"/>
          <w:sz w:val="22"/>
          <w:szCs w:val="22"/>
        </w:rPr>
        <w:t xml:space="preserve">Persyaratan kepatuhan terhadap peraturan perundang-undangan yang berlaku</w:t>
      </w:r>
    </w:p>
    <w:p>
      <w:pPr>
        <w:pStyle w:val="ListParagraph"/>
        <w:numPr>
          <w:ilvl w:val="0"/>
          <w:numId w:val="2"/>
        </w:numPr>
        <w:spacing w:after="40" w:before="40"/>
      </w:pPr>
      <w:r>
        <w:rPr>
          <w:rFonts w:ascii="Arial" w:cs="Arial" w:eastAsia="Arial" w:hAnsi="Arial"/>
          <w:sz w:val="22"/>
          <w:szCs w:val="22"/>
        </w:rPr>
        <w:t xml:space="preserve">Sanksi dan tanggung jawab atas pelanggaran keamanan informasi</w:t>
      </w:r>
    </w:p>
    <w:p>
      <w:pPr>
        <w:pStyle w:val="Heading2"/>
        <w:spacing w:after="80" w:before="240"/>
      </w:pPr>
      <w:r>
        <w:rPr>
          <w:rFonts w:ascii="Arial" w:cs="Arial" w:eastAsia="Arial" w:hAnsi="Arial"/>
          <w:b/>
          <w:bCs/>
          <w:color w:val="2E75B6"/>
          <w:sz w:val="24"/>
          <w:szCs w:val="24"/>
        </w:rPr>
        <w:t xml:space="preserve">4.3 Penilaian Risiko Pemasok</w:t>
      </w:r>
    </w:p>
    <w:p>
      <w:pPr>
        <w:spacing w:after="60" w:before="60"/>
      </w:pPr>
      <w:r>
        <w:rPr>
          <w:rFonts w:ascii="Arial" w:cs="Arial" w:eastAsia="Arial" w:hAnsi="Arial"/>
          <w:sz w:val="22"/>
          <w:szCs w:val="22"/>
        </w:rPr>
        <w:t xml:space="preserve">Sebelum melakukan hubungan bisnis dengan pemasok baru, organisasi wajib melakukan penilaian risiko yang mencakup:</w:t>
      </w:r>
    </w:p>
    <w:p>
      <w:pPr>
        <w:pStyle w:val="ListParagraph"/>
        <w:numPr>
          <w:ilvl w:val="0"/>
          <w:numId w:val="2"/>
        </w:numPr>
        <w:spacing w:after="40" w:before="40"/>
      </w:pPr>
      <w:r>
        <w:rPr>
          <w:rFonts w:ascii="Arial" w:cs="Arial" w:eastAsia="Arial" w:hAnsi="Arial"/>
          <w:sz w:val="22"/>
          <w:szCs w:val="22"/>
        </w:rPr>
        <w:t xml:space="preserve">Evaluasi kebijakan dan prosedur keamanan informasi pemasok</w:t>
      </w:r>
    </w:p>
    <w:p>
      <w:pPr>
        <w:pStyle w:val="ListParagraph"/>
        <w:numPr>
          <w:ilvl w:val="0"/>
          <w:numId w:val="2"/>
        </w:numPr>
        <w:spacing w:after="40" w:before="40"/>
      </w:pPr>
      <w:r>
        <w:rPr>
          <w:rFonts w:ascii="Arial" w:cs="Arial" w:eastAsia="Arial" w:hAnsi="Arial"/>
          <w:sz w:val="22"/>
          <w:szCs w:val="22"/>
        </w:rPr>
        <w:t xml:space="preserve">Verifikasi sertifikasi keamanan (ISO 27001, SOC 2, atau setara)</w:t>
      </w:r>
    </w:p>
    <w:p>
      <w:pPr>
        <w:pStyle w:val="ListParagraph"/>
        <w:numPr>
          <w:ilvl w:val="0"/>
          <w:numId w:val="2"/>
        </w:numPr>
        <w:spacing w:after="40" w:before="40"/>
      </w:pPr>
      <w:r>
        <w:rPr>
          <w:rFonts w:ascii="Arial" w:cs="Arial" w:eastAsia="Arial" w:hAnsi="Arial"/>
          <w:sz w:val="22"/>
          <w:szCs w:val="22"/>
        </w:rPr>
        <w:t xml:space="preserve">Penilaian rekam jejak dan reputasi pemasok</w:t>
      </w:r>
    </w:p>
    <w:p>
      <w:pPr>
        <w:pStyle w:val="ListParagraph"/>
        <w:numPr>
          <w:ilvl w:val="0"/>
          <w:numId w:val="2"/>
        </w:numPr>
        <w:spacing w:after="40" w:before="40"/>
      </w:pPr>
      <w:r>
        <w:rPr>
          <w:rFonts w:ascii="Arial" w:cs="Arial" w:eastAsia="Arial" w:hAnsi="Arial"/>
          <w:sz w:val="22"/>
          <w:szCs w:val="22"/>
        </w:rPr>
        <w:t xml:space="preserve">Analisis risiko keamanan berdasarkan jenis layanan yang diberikan</w:t>
      </w:r>
    </w:p>
    <w:p>
      <w:pPr>
        <w:pStyle w:val="ListParagraph"/>
        <w:numPr>
          <w:ilvl w:val="0"/>
          <w:numId w:val="2"/>
        </w:numPr>
        <w:spacing w:after="40" w:before="40"/>
      </w:pPr>
      <w:r>
        <w:rPr>
          <w:rFonts w:ascii="Arial" w:cs="Arial" w:eastAsia="Arial" w:hAnsi="Arial"/>
          <w:sz w:val="22"/>
          <w:szCs w:val="22"/>
        </w:rPr>
        <w:t xml:space="preserve">Pemeriksaan latar belakang untuk personel kritis pemasok yang memiliki akses ke aset sensitif</w:t>
      </w:r>
    </w:p>
    <w:p>
      <w:pPr>
        <w:pStyle w:val="Heading2"/>
        <w:spacing w:after="80" w:before="240"/>
      </w:pPr>
      <w:r>
        <w:rPr>
          <w:rFonts w:ascii="Arial" w:cs="Arial" w:eastAsia="Arial" w:hAnsi="Arial"/>
          <w:b/>
          <w:bCs/>
          <w:color w:val="2E75B6"/>
          <w:sz w:val="24"/>
          <w:szCs w:val="24"/>
        </w:rPr>
        <w:t xml:space="preserve">4.4 Pemantauan dan Evaluasi Berkelanjutan</w:t>
      </w:r>
    </w:p>
    <w:p>
      <w:pPr>
        <w:spacing w:after="60" w:before="60"/>
      </w:pPr>
      <w:r>
        <w:rPr>
          <w:rFonts w:ascii="Arial" w:cs="Arial" w:eastAsia="Arial" w:hAnsi="Arial"/>
          <w:sz w:val="22"/>
          <w:szCs w:val="22"/>
        </w:rPr>
        <w:t xml:space="preserve">Organisasi wajib melakukan pemantauan dan evaluasi berkelanjutan terhadap pemasok yang aktif, meliputi:</w:t>
      </w:r>
    </w:p>
    <w:p>
      <w:pPr>
        <w:pStyle w:val="ListParagraph"/>
        <w:numPr>
          <w:ilvl w:val="0"/>
          <w:numId w:val="2"/>
        </w:numPr>
        <w:spacing w:after="40" w:before="40"/>
      </w:pPr>
      <w:r>
        <w:rPr>
          <w:rFonts w:ascii="Arial" w:cs="Arial" w:eastAsia="Arial" w:hAnsi="Arial"/>
          <w:sz w:val="22"/>
          <w:szCs w:val="22"/>
        </w:rPr>
        <w:t xml:space="preserve">Tinjauan kinerja keamanan secara berkala (minimal tahunan)</w:t>
      </w:r>
    </w:p>
    <w:p>
      <w:pPr>
        <w:pStyle w:val="ListParagraph"/>
        <w:numPr>
          <w:ilvl w:val="0"/>
          <w:numId w:val="2"/>
        </w:numPr>
        <w:spacing w:after="40" w:before="40"/>
      </w:pPr>
      <w:r>
        <w:rPr>
          <w:rFonts w:ascii="Arial" w:cs="Arial" w:eastAsia="Arial" w:hAnsi="Arial"/>
          <w:sz w:val="22"/>
          <w:szCs w:val="22"/>
        </w:rPr>
        <w:t xml:space="preserve">Audit keamanan terhadap pemasok kategori risiko tinggi</w:t>
      </w:r>
    </w:p>
    <w:p>
      <w:pPr>
        <w:pStyle w:val="ListParagraph"/>
        <w:numPr>
          <w:ilvl w:val="0"/>
          <w:numId w:val="2"/>
        </w:numPr>
        <w:spacing w:after="40" w:before="40"/>
      </w:pPr>
      <w:r>
        <w:rPr>
          <w:rFonts w:ascii="Arial" w:cs="Arial" w:eastAsia="Arial" w:hAnsi="Arial"/>
          <w:sz w:val="22"/>
          <w:szCs w:val="22"/>
        </w:rPr>
        <w:t xml:space="preserve">Pemantauan insiden keamanan dan pelanggaran yang dilaporkan pemasok</w:t>
      </w:r>
    </w:p>
    <w:p>
      <w:pPr>
        <w:pStyle w:val="ListParagraph"/>
        <w:numPr>
          <w:ilvl w:val="0"/>
          <w:numId w:val="2"/>
        </w:numPr>
        <w:spacing w:after="40" w:before="40"/>
      </w:pPr>
      <w:r>
        <w:rPr>
          <w:rFonts w:ascii="Arial" w:cs="Arial" w:eastAsia="Arial" w:hAnsi="Arial"/>
          <w:sz w:val="22"/>
          <w:szCs w:val="22"/>
        </w:rPr>
        <w:t xml:space="preserve">Evaluasi ulang risiko saat terjadi perubahan signifikan pada layanan atau kontrak</w:t>
      </w:r>
    </w:p>
    <w:p>
      <w:pPr>
        <w:pStyle w:val="Heading2"/>
        <w:spacing w:after="80" w:before="240"/>
      </w:pPr>
      <w:r>
        <w:rPr>
          <w:rFonts w:ascii="Arial" w:cs="Arial" w:eastAsia="Arial" w:hAnsi="Arial"/>
          <w:b/>
          <w:bCs/>
          <w:color w:val="2E75B6"/>
          <w:sz w:val="24"/>
          <w:szCs w:val="24"/>
        </w:rPr>
        <w:t xml:space="preserve">4.5 Manajemen Perubahan Pemasok</w:t>
      </w:r>
    </w:p>
    <w:p>
      <w:pPr>
        <w:spacing w:after="60" w:before="60"/>
      </w:pPr>
      <w:r>
        <w:rPr>
          <w:rFonts w:ascii="Arial" w:cs="Arial" w:eastAsia="Arial" w:hAnsi="Arial"/>
          <w:sz w:val="22"/>
          <w:szCs w:val="22"/>
        </w:rPr>
        <w:t xml:space="preserve">Setiap perubahan pada layanan pemasok, termasuk penggunaan sub-kontraktor, perubahan lokasi pemrosesan data, atau perubahan personel kunci, harus:</w:t>
      </w:r>
    </w:p>
    <w:p>
      <w:pPr>
        <w:pStyle w:val="ListParagraph"/>
        <w:numPr>
          <w:ilvl w:val="0"/>
          <w:numId w:val="2"/>
        </w:numPr>
        <w:spacing w:after="40" w:before="40"/>
      </w:pPr>
      <w:r>
        <w:rPr>
          <w:rFonts w:ascii="Arial" w:cs="Arial" w:eastAsia="Arial" w:hAnsi="Arial"/>
          <w:sz w:val="22"/>
          <w:szCs w:val="22"/>
        </w:rPr>
        <w:t xml:space="preserve">Diberitahukan kepada organisasi dalam waktu yang disepakati (minimal 30 hari sebelumnya)</w:t>
      </w:r>
    </w:p>
    <w:p>
      <w:pPr>
        <w:pStyle w:val="ListParagraph"/>
        <w:numPr>
          <w:ilvl w:val="0"/>
          <w:numId w:val="2"/>
        </w:numPr>
        <w:spacing w:after="40" w:before="40"/>
      </w:pPr>
      <w:r>
        <w:rPr>
          <w:rFonts w:ascii="Arial" w:cs="Arial" w:eastAsia="Arial" w:hAnsi="Arial"/>
          <w:sz w:val="22"/>
          <w:szCs w:val="22"/>
        </w:rPr>
        <w:t xml:space="preserve">Dilakukan penilaian dampak keamanan informasi</w:t>
      </w:r>
    </w:p>
    <w:p>
      <w:pPr>
        <w:pStyle w:val="ListParagraph"/>
        <w:numPr>
          <w:ilvl w:val="0"/>
          <w:numId w:val="2"/>
        </w:numPr>
        <w:spacing w:after="40" w:before="40"/>
      </w:pPr>
      <w:r>
        <w:rPr>
          <w:rFonts w:ascii="Arial" w:cs="Arial" w:eastAsia="Arial" w:hAnsi="Arial"/>
          <w:sz w:val="22"/>
          <w:szCs w:val="22"/>
        </w:rPr>
        <w:t xml:space="preserve">Mendapatkan persetujuan tertulis dari CISO atau pihak yang berwenang</w:t>
      </w:r>
    </w:p>
    <w:p>
      <w:pPr>
        <w:pStyle w:val="Heading2"/>
        <w:spacing w:after="80" w:before="240"/>
      </w:pPr>
      <w:r>
        <w:rPr>
          <w:rFonts w:ascii="Arial" w:cs="Arial" w:eastAsia="Arial" w:hAnsi="Arial"/>
          <w:b/>
          <w:bCs/>
          <w:color w:val="2E75B6"/>
          <w:sz w:val="24"/>
          <w:szCs w:val="24"/>
        </w:rPr>
        <w:t xml:space="preserve">4.6 Keamanan Rantai Pasok Perangkat Lunak</w:t>
      </w:r>
    </w:p>
    <w:p>
      <w:pPr>
        <w:spacing w:after="60" w:before="60"/>
      </w:pPr>
      <w:r>
        <w:rPr>
          <w:rFonts w:ascii="Arial" w:cs="Arial" w:eastAsia="Arial" w:hAnsi="Arial"/>
          <w:sz w:val="22"/>
          <w:szCs w:val="22"/>
        </w:rPr>
        <w:t xml:space="preserve">Untuk pemasok yang menyediakan perangkat lunak atau komponen perangkat lunak, organisasi mensyaratkan:</w:t>
      </w:r>
    </w:p>
    <w:p>
      <w:pPr>
        <w:pStyle w:val="ListParagraph"/>
        <w:numPr>
          <w:ilvl w:val="0"/>
          <w:numId w:val="2"/>
        </w:numPr>
        <w:spacing w:after="40" w:before="40"/>
      </w:pPr>
      <w:r>
        <w:rPr>
          <w:rFonts w:ascii="Arial" w:cs="Arial" w:eastAsia="Arial" w:hAnsi="Arial"/>
          <w:sz w:val="22"/>
          <w:szCs w:val="22"/>
        </w:rPr>
        <w:t xml:space="preserve">Pengungkapan praktik keamanan dalam siklus pengembangan perangkat lunak (SDLC)</w:t>
      </w:r>
    </w:p>
    <w:p>
      <w:pPr>
        <w:pStyle w:val="ListParagraph"/>
        <w:numPr>
          <w:ilvl w:val="0"/>
          <w:numId w:val="2"/>
        </w:numPr>
        <w:spacing w:after="40" w:before="40"/>
      </w:pPr>
      <w:r>
        <w:rPr>
          <w:rFonts w:ascii="Arial" w:cs="Arial" w:eastAsia="Arial" w:hAnsi="Arial"/>
          <w:sz w:val="22"/>
          <w:szCs w:val="22"/>
        </w:rPr>
        <w:t xml:space="preserve">Penyediaan Software Bill of Materials (SBOM) untuk komponen kritis</w:t>
      </w:r>
    </w:p>
    <w:p>
      <w:pPr>
        <w:pStyle w:val="ListParagraph"/>
        <w:numPr>
          <w:ilvl w:val="0"/>
          <w:numId w:val="2"/>
        </w:numPr>
        <w:spacing w:after="40" w:before="40"/>
      </w:pPr>
      <w:r>
        <w:rPr>
          <w:rFonts w:ascii="Arial" w:cs="Arial" w:eastAsia="Arial" w:hAnsi="Arial"/>
          <w:sz w:val="22"/>
          <w:szCs w:val="22"/>
        </w:rPr>
        <w:t xml:space="preserve">Pengujian keamanan sebelum integrasi ke lingkungan produksi</w:t>
      </w:r>
    </w:p>
    <w:p>
      <w:pPr>
        <w:pStyle w:val="ListParagraph"/>
        <w:numPr>
          <w:ilvl w:val="0"/>
          <w:numId w:val="2"/>
        </w:numPr>
        <w:spacing w:after="40" w:before="40"/>
      </w:pPr>
      <w:r>
        <w:rPr>
          <w:rFonts w:ascii="Arial" w:cs="Arial" w:eastAsia="Arial" w:hAnsi="Arial"/>
          <w:sz w:val="22"/>
          <w:szCs w:val="22"/>
        </w:rPr>
        <w:t xml:space="preserve">Proses patch management dan notifikasi kerentanan yang terstruktur</w:t>
      </w:r>
    </w:p>
    <w:p>
      <w:pPr>
        <w:pStyle w:val="Heading1"/>
        <w:spacing w:after="120" w:before="320"/>
      </w:pPr>
      <w:r>
        <w:rPr>
          <w:rFonts w:ascii="Arial" w:cs="Arial" w:eastAsia="Arial" w:hAnsi="Arial"/>
          <w:b/>
          <w:bCs/>
          <w:color w:val="1F4E79"/>
          <w:sz w:val="28"/>
          <w:szCs w:val="28"/>
        </w:rPr>
        <w:t xml:space="preserve">5. PERAN DAN TANGGUNG JAWAB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JABATAN/UNIT</w:t>
            </w:r>
          </w:p>
        </w:tc>
        <w:tc>
          <w:tcPr>
            <w:tcW w:type="dxa" w:w="6026"/>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TANGGUNG JAWAB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Chief Information Security Officer (CISO)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Bertanggung jawab atas keseluruhan kebijakan ini; menyetujui pemasok kategori risiko tinggi; mengawasi implementasi keamanan rantai pasok</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Unit Pengadaan / Procurement</w:t>
            </w:r>
          </w:p>
        </w:tc>
        <w:tc>
          <w:tcPr>
            <w:tcW w:type="dxa" w:w="6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Memastikan persyaratan keamanan disertakan dalam proses seleksi dan kontrak; berkoordinasi dengan Tim Keamanan Informasi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 Keamanan Informasi (ISMS Team)</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Melakukan penilaian risiko pemasok; menyusun persyaratan keamanan kontrak; memantau kepatuhan pemasok</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Pemilik Proses Bisnis</w:t>
            </w:r>
          </w:p>
        </w:tc>
        <w:tc>
          <w:tcPr>
            <w:tcW w:type="dxa" w:w="6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Mengidentifikasi kebutuhan pemasok; memantau kinerja layanan; melaporkan insiden terkait pemasok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 Legal / Hukum</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Memastikan aspek hukum dalam perjanjian dengan pemasok; mengelola NDA dan kontrak keamanan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Tim Teknologi Informasi</w:t>
            </w:r>
          </w:p>
        </w:tc>
        <w:tc>
          <w:tcPr>
            <w:tcW w:type="dxa" w:w="6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Mengelola akses teknis pemasok; memantau koneksi dan aktivitas pemasok di lingkungan IT organisasi</w:t>
            </w:r>
          </w:p>
        </w:tc>
      </w:tr>
    </w:tbl>
    <w:p>
      <w:pPr>
        <w:pStyle w:val="Heading1"/>
        <w:spacing w:after="120" w:before="320"/>
      </w:pPr>
      <w:r>
        <w:rPr>
          <w:rFonts w:ascii="Arial" w:cs="Arial" w:eastAsia="Arial" w:hAnsi="Arial"/>
          <w:b/>
          <w:bCs/>
          <w:color w:val="1F4E79"/>
          <w:sz w:val="28"/>
          <w:szCs w:val="28"/>
        </w:rPr>
        <w:t xml:space="preserve">6. PERSYARATAN MINIMUM KEAMANAN PEMASOK</w:t>
      </w:r>
    </w:p>
    <w:p>
      <w:pPr>
        <w:pStyle w:val="Heading2"/>
        <w:spacing w:after="80" w:before="240"/>
      </w:pPr>
      <w:r>
        <w:rPr>
          <w:rFonts w:ascii="Arial" w:cs="Arial" w:eastAsia="Arial" w:hAnsi="Arial"/>
          <w:b/>
          <w:bCs/>
          <w:color w:val="2E75B6"/>
          <w:sz w:val="24"/>
          <w:szCs w:val="24"/>
        </w:rPr>
        <w:t xml:space="preserve">6.1 Pemasok Kategori Risiko Kritis</w:t>
      </w:r>
    </w:p>
    <w:p>
      <w:pPr>
        <w:pStyle w:val="ListParagraph"/>
        <w:numPr>
          <w:ilvl w:val="0"/>
          <w:numId w:val="2"/>
        </w:numPr>
        <w:spacing w:after="40" w:before="40"/>
      </w:pPr>
      <w:r>
        <w:rPr>
          <w:rFonts w:ascii="Arial" w:cs="Arial" w:eastAsia="Arial" w:hAnsi="Arial"/>
          <w:sz w:val="22"/>
          <w:szCs w:val="22"/>
        </w:rPr>
        <w:t xml:space="preserve">Wajib memiliki sertifikasi ISO/IEC 27001 atau setara yang masih berlaku</w:t>
      </w:r>
    </w:p>
    <w:p>
      <w:pPr>
        <w:pStyle w:val="ListParagraph"/>
        <w:numPr>
          <w:ilvl w:val="0"/>
          <w:numId w:val="2"/>
        </w:numPr>
        <w:spacing w:after="40" w:before="40"/>
      </w:pPr>
      <w:r>
        <w:rPr>
          <w:rFonts w:ascii="Arial" w:cs="Arial" w:eastAsia="Arial" w:hAnsi="Arial"/>
          <w:sz w:val="22"/>
          <w:szCs w:val="22"/>
        </w:rPr>
        <w:t xml:space="preserve">Wajib menyerahkan laporan audit keamanan tahunan (SOC 2 Type II atau setara)</w:t>
      </w:r>
    </w:p>
    <w:p>
      <w:pPr>
        <w:pStyle w:val="ListParagraph"/>
        <w:numPr>
          <w:ilvl w:val="0"/>
          <w:numId w:val="2"/>
        </w:numPr>
        <w:spacing w:after="40" w:before="40"/>
      </w:pPr>
      <w:r>
        <w:rPr>
          <w:rFonts w:ascii="Arial" w:cs="Arial" w:eastAsia="Arial" w:hAnsi="Arial"/>
          <w:sz w:val="22"/>
          <w:szCs w:val="22"/>
        </w:rPr>
        <w:t xml:space="preserve">Wajib menjalani audit keamanan oleh organisasi minimal sekali dalam dua tahun</w:t>
      </w:r>
    </w:p>
    <w:p>
      <w:pPr>
        <w:pStyle w:val="ListParagraph"/>
        <w:numPr>
          <w:ilvl w:val="0"/>
          <w:numId w:val="2"/>
        </w:numPr>
        <w:spacing w:after="40" w:before="40"/>
      </w:pPr>
      <w:r>
        <w:rPr>
          <w:rFonts w:ascii="Arial" w:cs="Arial" w:eastAsia="Arial" w:hAnsi="Arial"/>
          <w:sz w:val="22"/>
          <w:szCs w:val="22"/>
        </w:rPr>
        <w:t xml:space="preserve">Wajib memiliki rencana kelangsungan bisnis (BCP) dan pemulihan bencana (DRP)</w:t>
      </w:r>
    </w:p>
    <w:p>
      <w:pPr>
        <w:pStyle w:val="Heading2"/>
        <w:spacing w:after="80" w:before="240"/>
      </w:pPr>
      <w:r>
        <w:rPr>
          <w:rFonts w:ascii="Arial" w:cs="Arial" w:eastAsia="Arial" w:hAnsi="Arial"/>
          <w:b/>
          <w:bCs/>
          <w:color w:val="2E75B6"/>
          <w:sz w:val="24"/>
          <w:szCs w:val="24"/>
        </w:rPr>
        <w:t xml:space="preserve">6.2 Pemasok Kategori Risiko Tinggi</w:t>
      </w:r>
    </w:p>
    <w:p>
      <w:pPr>
        <w:pStyle w:val="ListParagraph"/>
        <w:numPr>
          <w:ilvl w:val="0"/>
          <w:numId w:val="2"/>
        </w:numPr>
        <w:spacing w:after="40" w:before="40"/>
      </w:pPr>
      <w:r>
        <w:rPr>
          <w:rFonts w:ascii="Arial" w:cs="Arial" w:eastAsia="Arial" w:hAnsi="Arial"/>
          <w:sz w:val="22"/>
          <w:szCs w:val="22"/>
        </w:rPr>
        <w:t xml:space="preserve">Wajib menyerahkan kuesioner penilaian keamanan yang diisi secara lengkap</w:t>
      </w:r>
    </w:p>
    <w:p>
      <w:pPr>
        <w:pStyle w:val="ListParagraph"/>
        <w:numPr>
          <w:ilvl w:val="0"/>
          <w:numId w:val="2"/>
        </w:numPr>
        <w:spacing w:after="40" w:before="40"/>
      </w:pPr>
      <w:r>
        <w:rPr>
          <w:rFonts w:ascii="Arial" w:cs="Arial" w:eastAsia="Arial" w:hAnsi="Arial"/>
          <w:sz w:val="22"/>
          <w:szCs w:val="22"/>
        </w:rPr>
        <w:t xml:space="preserve">Wajib memiliki kebijakan keamanan informasi yang terdokumentasi</w:t>
      </w:r>
    </w:p>
    <w:p>
      <w:pPr>
        <w:pStyle w:val="ListParagraph"/>
        <w:numPr>
          <w:ilvl w:val="0"/>
          <w:numId w:val="2"/>
        </w:numPr>
        <w:spacing w:after="40" w:before="40"/>
      </w:pPr>
      <w:r>
        <w:rPr>
          <w:rFonts w:ascii="Arial" w:cs="Arial" w:eastAsia="Arial" w:hAnsi="Arial"/>
          <w:sz w:val="22"/>
          <w:szCs w:val="22"/>
        </w:rPr>
        <w:t xml:space="preserve">Wajib memberikan bukti pelatihan keamanan untuk personel yang mengakses sistem organisasi</w:t>
      </w:r>
    </w:p>
    <w:p>
      <w:pPr>
        <w:pStyle w:val="ListParagraph"/>
        <w:numPr>
          <w:ilvl w:val="0"/>
          <w:numId w:val="2"/>
        </w:numPr>
        <w:spacing w:after="40" w:before="40"/>
      </w:pPr>
      <w:r>
        <w:rPr>
          <w:rFonts w:ascii="Arial" w:cs="Arial" w:eastAsia="Arial" w:hAnsi="Arial"/>
          <w:sz w:val="22"/>
          <w:szCs w:val="22"/>
        </w:rPr>
        <w:t xml:space="preserve">Wajib melaporkan setiap insiden keamanan dalam waktu 24 jam</w:t>
      </w:r>
    </w:p>
    <w:p>
      <w:pPr>
        <w:pStyle w:val="Heading2"/>
        <w:spacing w:after="80" w:before="240"/>
      </w:pPr>
      <w:r>
        <w:rPr>
          <w:rFonts w:ascii="Arial" w:cs="Arial" w:eastAsia="Arial" w:hAnsi="Arial"/>
          <w:b/>
          <w:bCs/>
          <w:color w:val="2E75B6"/>
          <w:sz w:val="24"/>
          <w:szCs w:val="24"/>
        </w:rPr>
        <w:t xml:space="preserve">6.3 Pemasok Kategori Risiko Menengah dan Rendah</w:t>
      </w:r>
    </w:p>
    <w:p>
      <w:pPr>
        <w:pStyle w:val="ListParagraph"/>
        <w:numPr>
          <w:ilvl w:val="0"/>
          <w:numId w:val="2"/>
        </w:numPr>
        <w:spacing w:after="40" w:before="40"/>
      </w:pPr>
      <w:r>
        <w:rPr>
          <w:rFonts w:ascii="Arial" w:cs="Arial" w:eastAsia="Arial" w:hAnsi="Arial"/>
          <w:sz w:val="22"/>
          <w:szCs w:val="22"/>
        </w:rPr>
        <w:t xml:space="preserve">Wajib menandatangani Perjanjian Kerahasiaan (NDA)</w:t>
      </w:r>
    </w:p>
    <w:p>
      <w:pPr>
        <w:pStyle w:val="ListParagraph"/>
        <w:numPr>
          <w:ilvl w:val="0"/>
          <w:numId w:val="2"/>
        </w:numPr>
        <w:spacing w:after="40" w:before="40"/>
      </w:pPr>
      <w:r>
        <w:rPr>
          <w:rFonts w:ascii="Arial" w:cs="Arial" w:eastAsia="Arial" w:hAnsi="Arial"/>
          <w:sz w:val="22"/>
          <w:szCs w:val="22"/>
        </w:rPr>
        <w:t xml:space="preserve">Wajib mematuhi kebijakan keamanan informasi organisasi selama interaksi</w:t>
      </w:r>
    </w:p>
    <w:p>
      <w:pPr>
        <w:pStyle w:val="ListParagraph"/>
        <w:numPr>
          <w:ilvl w:val="0"/>
          <w:numId w:val="2"/>
        </w:numPr>
        <w:spacing w:after="40" w:before="40"/>
      </w:pPr>
      <w:r>
        <w:rPr>
          <w:rFonts w:ascii="Arial" w:cs="Arial" w:eastAsia="Arial" w:hAnsi="Arial"/>
          <w:sz w:val="22"/>
          <w:szCs w:val="22"/>
        </w:rPr>
        <w:t xml:space="preserve">Wajib melaporkan insiden keamanan yang berdampak pada organisasi</w:t>
      </w:r>
    </w:p>
    <w:p>
      <w:pPr>
        <w:pStyle w:val="Heading1"/>
        <w:spacing w:after="120" w:before="320"/>
      </w:pPr>
      <w:r>
        <w:rPr>
          <w:rFonts w:ascii="Arial" w:cs="Arial" w:eastAsia="Arial" w:hAnsi="Arial"/>
          <w:b/>
          <w:bCs/>
          <w:color w:val="1F4E79"/>
          <w:sz w:val="28"/>
          <w:szCs w:val="28"/>
        </w:rPr>
        <w:t xml:space="preserve">7. PENGELOLAAN INSIDEN TERKAIT PEMASOK</w:t>
      </w:r>
    </w:p>
    <w:p>
      <w:pPr>
        <w:spacing w:after="60" w:before="60"/>
      </w:pPr>
      <w:r>
        <w:rPr>
          <w:rFonts w:ascii="Arial" w:cs="Arial" w:eastAsia="Arial" w:hAnsi="Arial"/>
          <w:sz w:val="22"/>
          <w:szCs w:val="22"/>
        </w:rPr>
        <w:t xml:space="preserve">Apabila terjadi insiden keamanan yang melibatkan pemasok, prosedur berikut harus diikuti:</w:t>
      </w:r>
    </w:p>
    <w:p>
      <w:pPr>
        <w:pStyle w:val="ListParagraph"/>
        <w:numPr>
          <w:ilvl w:val="0"/>
          <w:numId w:val="2"/>
        </w:numPr>
        <w:spacing w:after="40" w:before="40"/>
      </w:pPr>
      <w:r>
        <w:rPr>
          <w:rFonts w:ascii="Arial" w:cs="Arial" w:eastAsia="Arial" w:hAnsi="Arial"/>
          <w:sz w:val="22"/>
          <w:szCs w:val="22"/>
        </w:rPr>
        <w:t xml:space="preserve">Pemasok wajib melaporkan insiden kepada organisasi sesuai batas waktu yang disepakati dalam kontrak</w:t>
      </w:r>
    </w:p>
    <w:p>
      <w:pPr>
        <w:pStyle w:val="ListParagraph"/>
        <w:numPr>
          <w:ilvl w:val="0"/>
          <w:numId w:val="2"/>
        </w:numPr>
        <w:spacing w:after="40" w:before="40"/>
      </w:pPr>
      <w:r>
        <w:rPr>
          <w:rFonts w:ascii="Arial" w:cs="Arial" w:eastAsia="Arial" w:hAnsi="Arial"/>
          <w:sz w:val="22"/>
          <w:szCs w:val="22"/>
        </w:rPr>
        <w:t xml:space="preserve">Organisasi wajib melakukan investigasi dan menilai dampak terhadap aset informasi</w:t>
      </w:r>
    </w:p>
    <w:p>
      <w:pPr>
        <w:pStyle w:val="ListParagraph"/>
        <w:numPr>
          <w:ilvl w:val="0"/>
          <w:numId w:val="2"/>
        </w:numPr>
        <w:spacing w:after="40" w:before="40"/>
      </w:pPr>
      <w:r>
        <w:rPr>
          <w:rFonts w:ascii="Arial" w:cs="Arial" w:eastAsia="Arial" w:hAnsi="Arial"/>
          <w:sz w:val="22"/>
          <w:szCs w:val="22"/>
        </w:rPr>
        <w:t xml:space="preserve">Tindakan perbaikan dan mitigasi harus disepakati dan dilaksanakan oleh pemasok</w:t>
      </w:r>
    </w:p>
    <w:p>
      <w:pPr>
        <w:pStyle w:val="ListParagraph"/>
        <w:numPr>
          <w:ilvl w:val="0"/>
          <w:numId w:val="2"/>
        </w:numPr>
        <w:spacing w:after="40" w:before="40"/>
      </w:pPr>
      <w:r>
        <w:rPr>
          <w:rFonts w:ascii="Arial" w:cs="Arial" w:eastAsia="Arial" w:hAnsi="Arial"/>
          <w:sz w:val="22"/>
          <w:szCs w:val="22"/>
        </w:rPr>
        <w:t xml:space="preserve">Dokumentasi insiden dan tindakan perbaikan disimpan dalam sistem manajemen insiden organisasi</w:t>
      </w:r>
    </w:p>
    <w:p>
      <w:pPr>
        <w:pStyle w:val="ListParagraph"/>
        <w:numPr>
          <w:ilvl w:val="0"/>
          <w:numId w:val="2"/>
        </w:numPr>
        <w:spacing w:after="40" w:before="40"/>
      </w:pPr>
      <w:r>
        <w:rPr>
          <w:rFonts w:ascii="Arial" w:cs="Arial" w:eastAsia="Arial" w:hAnsi="Arial"/>
          <w:sz w:val="22"/>
          <w:szCs w:val="22"/>
        </w:rPr>
        <w:t xml:space="preserve">Eskalasi kepada manajemen senior dilakukan jika dampak signifikan terhadap operasional atau reputasi organisasi</w:t>
      </w:r>
    </w:p>
    <w:p>
      <w:pPr>
        <w:pStyle w:val="Heading1"/>
        <w:spacing w:after="120" w:before="320"/>
      </w:pPr>
      <w:r>
        <w:rPr>
          <w:rFonts w:ascii="Arial" w:cs="Arial" w:eastAsia="Arial" w:hAnsi="Arial"/>
          <w:b/>
          <w:bCs/>
          <w:color w:val="1F4E79"/>
          <w:sz w:val="28"/>
          <w:szCs w:val="28"/>
        </w:rPr>
        <w:t xml:space="preserve">8. KEPATUHAN DAN SANKSI</w:t>
      </w:r>
    </w:p>
    <w:p>
      <w:pPr>
        <w:spacing w:after="60" w:before="60"/>
      </w:pPr>
      <w:r>
        <w:rPr>
          <w:rFonts w:ascii="Arial" w:cs="Arial" w:eastAsia="Arial" w:hAnsi="Arial"/>
          <w:sz w:val="22"/>
          <w:szCs w:val="22"/>
        </w:rPr>
        <w:t xml:space="preserve">Pelanggaran terhadap kebijakan ini oleh pemasok dapat berakibat pada:</w:t>
      </w:r>
    </w:p>
    <w:p>
      <w:pPr>
        <w:pStyle w:val="ListParagraph"/>
        <w:numPr>
          <w:ilvl w:val="0"/>
          <w:numId w:val="2"/>
        </w:numPr>
        <w:spacing w:after="40" w:before="40"/>
      </w:pPr>
      <w:r>
        <w:rPr>
          <w:rFonts w:ascii="Arial" w:cs="Arial" w:eastAsia="Arial" w:hAnsi="Arial"/>
          <w:sz w:val="22"/>
          <w:szCs w:val="22"/>
        </w:rPr>
        <w:t xml:space="preserve">Penangguhan akses sementara ke sistem dan fasilitas organisasi</w:t>
      </w:r>
    </w:p>
    <w:p>
      <w:pPr>
        <w:pStyle w:val="ListParagraph"/>
        <w:numPr>
          <w:ilvl w:val="0"/>
          <w:numId w:val="2"/>
        </w:numPr>
        <w:spacing w:after="40" w:before="40"/>
      </w:pPr>
      <w:r>
        <w:rPr>
          <w:rFonts w:ascii="Arial" w:cs="Arial" w:eastAsia="Arial" w:hAnsi="Arial"/>
          <w:sz w:val="22"/>
          <w:szCs w:val="22"/>
        </w:rPr>
        <w:t xml:space="preserve">Pemberlakuan sanksi finansial sesuai ketentuan kontrak</w:t>
      </w:r>
    </w:p>
    <w:p>
      <w:pPr>
        <w:pStyle w:val="ListParagraph"/>
        <w:numPr>
          <w:ilvl w:val="0"/>
          <w:numId w:val="2"/>
        </w:numPr>
        <w:spacing w:after="40" w:before="40"/>
      </w:pPr>
      <w:r>
        <w:rPr>
          <w:rFonts w:ascii="Arial" w:cs="Arial" w:eastAsia="Arial" w:hAnsi="Arial"/>
          <w:sz w:val="22"/>
          <w:szCs w:val="22"/>
        </w:rPr>
        <w:t xml:space="preserve">Pemutusan hubungan kerja sama secara sepihak</w:t>
      </w:r>
    </w:p>
    <w:p>
      <w:pPr>
        <w:pStyle w:val="ListParagraph"/>
        <w:numPr>
          <w:ilvl w:val="0"/>
          <w:numId w:val="2"/>
        </w:numPr>
        <w:spacing w:after="40" w:before="40"/>
      </w:pPr>
      <w:r>
        <w:rPr>
          <w:rFonts w:ascii="Arial" w:cs="Arial" w:eastAsia="Arial" w:hAnsi="Arial"/>
          <w:sz w:val="22"/>
          <w:szCs w:val="22"/>
        </w:rPr>
        <w:t xml:space="preserve">Tindakan hukum apabila pelanggaran mengakibatkan kerugian atau pelanggaran hukum</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Karyawan organisasi yang tidak mematuhi kebijakan ini akan dikenakan tindakan disipliner sesuai dengan kebijakan sumber daya manusia yang berlaku.</w:t>
      </w:r>
    </w:p>
    <w:p>
      <w:pPr>
        <w:pStyle w:val="Heading1"/>
        <w:spacing w:after="120" w:before="320"/>
      </w:pPr>
      <w:r>
        <w:rPr>
          <w:rFonts w:ascii="Arial" w:cs="Arial" w:eastAsia="Arial" w:hAnsi="Arial"/>
          <w:b/>
          <w:bCs/>
          <w:color w:val="1F4E79"/>
          <w:sz w:val="28"/>
          <w:szCs w:val="28"/>
        </w:rPr>
        <w:t xml:space="preserve">9. TINJAUAN DAN PEMBARUAN</w:t>
      </w:r>
    </w:p>
    <w:p>
      <w:pPr>
        <w:spacing w:after="60" w:before="60"/>
      </w:pPr>
      <w:r>
        <w:rPr>
          <w:rFonts w:ascii="Arial" w:cs="Arial" w:eastAsia="Arial" w:hAnsi="Arial"/>
          <w:sz w:val="22"/>
          <w:szCs w:val="22"/>
        </w:rPr>
        <w:t xml:space="preserve">Kebijakan ini wajib ditinjau:</w:t>
      </w:r>
    </w:p>
    <w:p>
      <w:pPr>
        <w:pStyle w:val="ListParagraph"/>
        <w:numPr>
          <w:ilvl w:val="0"/>
          <w:numId w:val="2"/>
        </w:numPr>
        <w:spacing w:after="40" w:before="40"/>
      </w:pPr>
      <w:r>
        <w:rPr>
          <w:rFonts w:ascii="Arial" w:cs="Arial" w:eastAsia="Arial" w:hAnsi="Arial"/>
          <w:sz w:val="22"/>
          <w:szCs w:val="22"/>
        </w:rPr>
        <w:t xml:space="preserve">Setidaknya satu kali dalam setahun oleh CISO dan Tim Keamanan Informasi</w:t>
      </w:r>
    </w:p>
    <w:p>
      <w:pPr>
        <w:pStyle w:val="ListParagraph"/>
        <w:numPr>
          <w:ilvl w:val="0"/>
          <w:numId w:val="2"/>
        </w:numPr>
        <w:spacing w:after="40" w:before="40"/>
      </w:pPr>
      <w:r>
        <w:rPr>
          <w:rFonts w:ascii="Arial" w:cs="Arial" w:eastAsia="Arial" w:hAnsi="Arial"/>
          <w:sz w:val="22"/>
          <w:szCs w:val="22"/>
        </w:rPr>
        <w:t xml:space="preserve">Setiap kali terjadi perubahan signifikan pada lingkungan bisnis, teknologi, atau regulasi</w:t>
      </w:r>
    </w:p>
    <w:p>
      <w:pPr>
        <w:pStyle w:val="ListParagraph"/>
        <w:numPr>
          <w:ilvl w:val="0"/>
          <w:numId w:val="2"/>
        </w:numPr>
        <w:spacing w:after="40" w:before="40"/>
      </w:pPr>
      <w:r>
        <w:rPr>
          <w:rFonts w:ascii="Arial" w:cs="Arial" w:eastAsia="Arial" w:hAnsi="Arial"/>
          <w:sz w:val="22"/>
          <w:szCs w:val="22"/>
        </w:rPr>
        <w:t xml:space="preserve">Setelah terjadi insiden keamanan mayor yang melibatkan pemasok</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Seluruh pembaruan kebijakan harus mendapatkan persetujuan Direktur Utama sebelum diberlakukan.</w:t>
      </w:r>
    </w:p>
    <w:p>
      <w:pPr>
        <w:pStyle w:val="Heading1"/>
        <w:spacing w:after="120" w:before="320"/>
      </w:pPr>
      <w:r>
        <w:rPr>
          <w:rFonts w:ascii="Arial" w:cs="Arial" w:eastAsia="Arial" w:hAnsi="Arial"/>
          <w:b/>
          <w:bCs/>
          <w:color w:val="1F4E79"/>
          <w:sz w:val="28"/>
          <w:szCs w:val="28"/>
        </w:rPr>
        <w:t xml:space="preserve">10. REFERENSI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DOKUMEN / STANDAR</w:t>
            </w:r>
          </w:p>
        </w:tc>
        <w:tc>
          <w:tcPr>
            <w:tcW w:type="dxa" w:w="5526"/>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KETERANGAN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ISO/IEC 27001:2022</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Annex A 5.19 - Information security in supplier relationships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ISO/IEC 27001:2022</w:t>
            </w:r>
          </w:p>
        </w:tc>
        <w:tc>
          <w:tcPr>
            <w:tcW w:type="dxa" w:w="5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Annex A 5.20 - Addressing information security within supplier agreements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ISO/IEC 27001:2022</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Annex A 5.21 - Managing information security in the ICT supply chain</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ISO/IEC 27001:2022</w:t>
            </w:r>
          </w:p>
        </w:tc>
        <w:tc>
          <w:tcPr>
            <w:tcW w:type="dxa" w:w="5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Annex A 5.22 - Monitoring, review and change management of supplier services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ISO/IEC 27001:2022</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Annex A 5.23 - Information security for use of cloud services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ISMS-SOP-SC-001</w:t>
            </w:r>
          </w:p>
        </w:tc>
        <w:tc>
          <w:tcPr>
            <w:tcW w:type="dxa" w:w="5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SOP Seleksi dan Evaluasi Pemasok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ISMS-SOP-SC-002</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SOP Pengelolaan Kontrak dan Perjanjian Pemasok</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ISMS-FRM-SC-001 s/d 006</w:t>
            </w:r>
          </w:p>
        </w:tc>
        <w:tc>
          <w:tcPr>
            <w:tcW w:type="dxa" w:w="5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Formulir-formulir Pengelolaan Rantai Pasok</w:t>
            </w:r>
          </w:p>
        </w:tc>
      </w:tr>
    </w:tbl>
    <w:p>
      <w:r>
        <w:br w:type="page"/>
      </w:r>
    </w:p>
    <w:p>
      <w:pPr>
        <w:pStyle w:val="Heading1"/>
        <w:spacing w:after="120" w:before="320"/>
      </w:pPr>
      <w:r>
        <w:rPr>
          <w:rFonts w:ascii="Arial" w:cs="Arial" w:eastAsia="Arial" w:hAnsi="Arial"/>
          <w:b/>
          <w:bCs/>
          <w:color w:val="1F4E79"/>
          <w:sz w:val="28"/>
          <w:szCs w:val="28"/>
        </w:rPr>
        <w:t xml:space="preserve">RIWAYAT PERUBAHAN DOKUMEN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500"/>
        <w:gridCol w:w="2500"/>
        <w:gridCol w:w="1326"/>
      </w:tblGrid>
      <w:tr>
        <w:tc>
          <w:tcPr>
            <w:tcW w:type="dxa" w:w="12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VERSI</w:t>
            </w:r>
          </w:p>
        </w:tc>
        <w:tc>
          <w:tcPr>
            <w:tcW w:type="dxa" w:w="15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TANGGAL</w:t>
            </w:r>
          </w:p>
        </w:tc>
        <w:tc>
          <w:tcPr>
            <w:tcW w:type="dxa" w:w="25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DESKRIPSI PERUBAHAN</w:t>
            </w:r>
          </w:p>
        </w:tc>
        <w:tc>
          <w:tcPr>
            <w:tcW w:type="dxa" w:w="25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DIUBAH OLEH</w:t>
            </w:r>
          </w:p>
        </w:tc>
        <w:tc>
          <w:tcPr>
            <w:tcW w:type="dxa" w:w="1326"/>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DISETUJUI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15/03/2026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Pembuatan dokumen awal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 ISMS</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Direktur Utama</w:t>
            </w:r>
          </w:p>
        </w:tc>
      </w:tr>
    </w:tbl>
    <w:p>
      <w:pPr>
        <w:spacing w:before="400"/>
      </w:pPr>
    </w:p>
    <w:p>
      <w:pPr>
        <w:pStyle w:val="Heading1"/>
        <w:spacing w:after="120" w:before="320"/>
      </w:pPr>
      <w:r>
        <w:rPr>
          <w:rFonts w:ascii="Arial" w:cs="Arial" w:eastAsia="Arial" w:hAnsi="Arial"/>
          <w:b/>
          <w:bCs/>
          <w:color w:val="1F4E79"/>
          <w:sz w:val="28"/>
          <w:szCs w:val="28"/>
        </w:rPr>
        <w:t xml:space="preserve">HALAMAN PENGESAHAN</w:t>
      </w:r>
    </w:p>
    <w:p>
      <w:pP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DISIAPKAN OLEH</w:t>
            </w:r>
          </w:p>
        </w:tc>
        <w:tc>
          <w:tcPr>
            <w:tcW w:type="dxa" w:w="3009"/>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DITINJAU OLEH</w:t>
            </w:r>
          </w:p>
        </w:tc>
        <w:tc>
          <w:tcPr>
            <w:tcW w:type="dxa" w:w="3009"/>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DISETUJUI OLEH</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600"/>
            </w:pPr>
          </w:p>
          <w:p>
            <w:pPr>
              <w:pBdr>
                <w:top w:val="single" w:color="000000" w:sz="2"/>
              </w:pBdr>
            </w:pPr>
            <w:r>
              <w:rPr>
                <w:rFonts w:ascii="Arial" w:cs="Arial" w:eastAsia="Arial" w:hAnsi="Arial"/>
                <w:i/>
                <w:iCs/>
                <w:color w:val="595959"/>
                <w:sz w:val="18"/>
                <w:szCs w:val="18"/>
              </w:rPr>
              <w:t xml:space="preserve">Tanda Tangan &amp; Stempel</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600"/>
            </w:pPr>
          </w:p>
          <w:p>
            <w:pPr>
              <w:pBdr>
                <w:top w:val="single" w:color="000000" w:sz="2"/>
              </w:pBdr>
            </w:pPr>
            <w:r>
              <w:rPr>
                <w:rFonts w:ascii="Arial" w:cs="Arial" w:eastAsia="Arial" w:hAnsi="Arial"/>
                <w:i/>
                <w:iCs/>
                <w:color w:val="595959"/>
                <w:sz w:val="18"/>
                <w:szCs w:val="18"/>
              </w:rPr>
              <w:t xml:space="preserve">Tanda Tangan &amp; Stempel</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600"/>
            </w:pPr>
          </w:p>
          <w:p>
            <w:pPr>
              <w:pBdr>
                <w:top w:val="single" w:color="000000" w:sz="2"/>
              </w:pBdr>
            </w:pPr>
            <w:r>
              <w:rPr>
                <w:rFonts w:ascii="Arial" w:cs="Arial" w:eastAsia="Arial" w:hAnsi="Arial"/>
                <w:i/>
                <w:iCs/>
                <w:color w:val="595959"/>
                <w:sz w:val="18"/>
                <w:szCs w:val="18"/>
              </w:rPr>
              <w:t xml:space="preserve">Tanda Tangan &amp; Stempel</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Nama: ________________________</w:t>
            </w:r>
          </w:p>
          <w:p>
            <w:r>
              <w:rPr>
                <w:rFonts w:ascii="Arial" w:cs="Arial" w:eastAsia="Arial" w:hAnsi="Arial"/>
                <w:sz w:val="20"/>
                <w:szCs w:val="20"/>
              </w:rPr>
              <w:t xml:space="preserve">Jabatan: Information Security Manager</w:t>
            </w:r>
          </w:p>
          <w:p>
            <w:r>
              <w:rPr>
                <w:rFonts w:ascii="Arial" w:cs="Arial" w:eastAsia="Arial" w:hAnsi="Arial"/>
                <w:sz w:val="20"/>
                <w:szCs w:val="20"/>
              </w:rPr>
              <w:t xml:space="preserve">Tanggal: ____________________</w:t>
            </w:r>
          </w:p>
        </w:tc>
        <w:tc>
          <w:tcPr>
            <w:tcW w:type="dxa" w:w="3009"/>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Nama: ________________________</w:t>
            </w:r>
          </w:p>
          <w:p>
            <w:r>
              <w:rPr>
                <w:rFonts w:ascii="Arial" w:cs="Arial" w:eastAsia="Arial" w:hAnsi="Arial"/>
                <w:sz w:val="20"/>
                <w:szCs w:val="20"/>
              </w:rPr>
              <w:t xml:space="preserve">Jabatan: Chief Information Security Officer</w:t>
            </w:r>
          </w:p>
          <w:p>
            <w:r>
              <w:rPr>
                <w:rFonts w:ascii="Arial" w:cs="Arial" w:eastAsia="Arial" w:hAnsi="Arial"/>
                <w:sz w:val="20"/>
                <w:szCs w:val="20"/>
              </w:rPr>
              <w:t xml:space="preserve">Tanggal: ____________________</w:t>
            </w:r>
          </w:p>
        </w:tc>
        <w:tc>
          <w:tcPr>
            <w:tcW w:type="dxa" w:w="3009"/>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Nama: ________________________</w:t>
            </w:r>
          </w:p>
          <w:p>
            <w:r>
              <w:rPr>
                <w:rFonts w:ascii="Arial" w:cs="Arial" w:eastAsia="Arial" w:hAnsi="Arial"/>
                <w:sz w:val="20"/>
                <w:szCs w:val="20"/>
              </w:rPr>
              <w:t xml:space="preserve">Jabatan: Direktur Utama</w:t>
            </w:r>
          </w:p>
          <w:p>
            <w:r>
              <w:rPr>
                <w:rFonts w:ascii="Arial" w:cs="Arial" w:eastAsia="Arial" w:hAnsi="Arial"/>
                <w:sz w:val="20"/>
                <w:szCs w:val="20"/>
              </w:rPr>
              <w:t xml:space="preserve">Tanggal: ____________________</w:t>
            </w:r>
          </w:p>
        </w:tc>
      </w:tr>
    </w:tbl>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tabs>
        <w:tab w:val="right" w:pos="9026"/>
      </w:tabs>
      <w:spacing w:before="100"/>
    </w:pPr>
    <w:r>
      <w:rPr>
        <w:rFonts w:ascii="Arial" w:cs="Arial" w:eastAsia="Arial" w:hAnsi="Arial"/>
        <w:color w:val="595959"/>
        <w:sz w:val="16"/>
        <w:szCs w:val="16"/>
      </w:rPr>
      <w:t xml:space="preserve">Dokumen ini bersifat RAHASIA - Hak Cipta Dilindungi</w:t>
    </w:r>
    <w:r>
      <w:rPr>
        <w:rFonts w:ascii="Arial" w:cs="Arial" w:eastAsia="Arial" w:hAnsi="Arial"/>
        <w:color w:val="595959"/>
        <w:sz w:val="16"/>
        <w:szCs w:val="16"/>
      </w:rPr>
      <w:t xml:space="preserve">	Halaman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dari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tabs>
        <w:tab w:val="right" w:pos="9026"/>
      </w:tabs>
      <w:spacing w:after="100"/>
    </w:pPr>
    <w:r>
      <w:rPr>
        <w:rFonts w:ascii="Arial" w:cs="Arial" w:eastAsia="Arial" w:hAnsi="Arial"/>
        <w:b/>
        <w:bCs/>
        <w:color w:val="1F4E79"/>
        <w:sz w:val="18"/>
        <w:szCs w:val="18"/>
      </w:rPr>
      <w:t xml:space="preserve">KEBIJAKAN KEAMANAN RANTAI PASOK</w:t>
    </w:r>
    <w:r>
      <w:rPr>
        <w:sz w:val="18"/>
        <w:szCs w:val="18"/>
      </w:rPr>
      <w:t xml:space="preserve">	</w:t>
    </w:r>
    <w:r>
      <w:rPr>
        <w:rFonts w:ascii="Arial" w:cs="Arial" w:eastAsia="Arial" w:hAnsi="Arial"/>
        <w:color w:val="595959"/>
        <w:sz w:val="18"/>
        <w:szCs w:val="18"/>
      </w:rPr>
      <w:t xml:space="preserve">ISMS-POL-SC-001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2026-03-15T10:15:58.504Z</dcterms:created>
  <dcterms:modified xsi:type="dcterms:W3CDTF">2026-03-15T10:15:58.504Z</dcterms:modified>
</cp:coreProperties>
</file>

<file path=docProps/custom.xml><?xml version="1.0" encoding="utf-8"?>
<Properties xmlns="http://schemas.openxmlformats.org/officeDocument/2006/custom-properties" xmlns:vt="http://schemas.openxmlformats.org/officeDocument/2006/docPropsVTypes"/>
</file>