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F4E79"/>
          <w:sz w:val="28"/>
          <w:szCs w:val="28"/>
        </w:rPr>
        <w:t xml:space="preserve">SISTEM MANAJEMEN KEAMANAN INFORMASI</w:t>
      </w:r>
    </w:p>
    <w:p>
      <w:pPr>
        <w:spacing w:after="200" w:before="80"/>
        <w:jc w:val="center"/>
      </w:pPr>
      <w:r>
        <w:rPr>
          <w:rFonts w:ascii="Arial" w:cs="Arial" w:eastAsia="Arial" w:hAnsi="Arial"/>
          <w:color w:val="2E75B6"/>
          <w:sz w:val="24"/>
          <w:szCs w:val="24"/>
        </w:rPr>
        <w:t xml:space="preserve">ISO/IEC 27001:2022</w:t>
      </w:r>
    </w:p>
    <w:p>
      <w:pPr>
        <w:pBdr>
          <w:bottom w:val="single" w:color="2E75B6" w:sz="6"/>
        </w:pBdr>
        <w:spacing w:after="300" w:before="60"/>
      </w:pPr>
    </w:p>
    <w:p>
      <w:pPr>
        <w:jc w:val="center"/>
      </w:pPr>
      <w:r>
        <w:rPr>
          <w:rFonts w:ascii="Arial" w:cs="Arial" w:eastAsia="Arial" w:hAnsi="Arial"/>
          <w:b/>
          <w:bCs/>
          <w:color w:val="595959"/>
          <w:sz w:val="26"/>
          <w:szCs w:val="26"/>
        </w:rPr>
        <w:t xml:space="preserve">STANDAR OPERASIONAL PROSEDUR</w:t>
      </w:r>
    </w:p>
    <w:p>
      <w:pPr>
        <w:spacing w:after="100" w:before="100"/>
        <w:jc w:val="center"/>
      </w:pPr>
      <w:r>
        <w:rPr>
          <w:rFonts w:ascii="Arial" w:cs="Arial" w:eastAsia="Arial" w:hAnsi="Arial"/>
          <w:b/>
          <w:bCs/>
          <w:color w:val="1F4E79"/>
          <w:sz w:val="36"/>
          <w:szCs w:val="36"/>
        </w:rPr>
        <w:t xml:space="preserve">SELEKSI DAN EVALUASI PEMASOK</w:t>
      </w:r>
    </w:p>
    <w:p>
      <w:pPr>
        <w:spacing w:after="300" w:before="50"/>
        <w:jc w:val="center"/>
      </w:pPr>
      <w:r>
        <w:rPr>
          <w:rFonts w:ascii="Arial" w:cs="Arial" w:eastAsia="Arial" w:hAnsi="Arial"/>
          <w:i/>
          <w:iCs/>
          <w:color w:val="595959"/>
          <w:sz w:val="24"/>
          <w:szCs w:val="24"/>
        </w:rPr>
        <w:t xml:space="preserve">Supplier Selection and Evaluation Procedure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INFORMASI DOKUMEN</w:t>
            </w:r>
          </w:p>
        </w:tc>
        <w:tc>
          <w:tcPr>
            <w:tcW w:type="dxa" w:w="4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Nomor Dokumen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ISMS-SOP-SC-001</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Versi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Tanggal Berlaku</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Maret 2026</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Klasifikasi</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RAHASIA - INTERNAL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Pemilik Proses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Pengadaan &amp; Tim Keamanan Informasi</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Referensi Kebijakan</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ISMS-POL-SC-001 Kebijakan Keamanan Rantai Pasok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Referensi Standar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ISO/IEC 27001:2022 Annex A 5.19, 5.22</w:t>
            </w:r>
          </w:p>
        </w:tc>
      </w:tr>
    </w:tbl>
    <w:p>
      <w:r>
        <w:br w:type="page"/>
      </w:r>
    </w:p>
    <w:p>
      <w:pPr>
        <w:pStyle w:val="Heading1"/>
        <w:spacing w:after="120" w:before="320"/>
      </w:pPr>
      <w:r>
        <w:rPr>
          <w:rFonts w:ascii="Arial" w:cs="Arial" w:eastAsia="Arial" w:hAnsi="Arial"/>
          <w:b/>
          <w:bCs/>
          <w:color w:val="1F4E79"/>
          <w:sz w:val="28"/>
          <w:szCs w:val="28"/>
        </w:rPr>
        <w:t xml:space="preserve">1. TUJUAN</w:t>
      </w:r>
    </w:p>
    <w:p>
      <w:pPr>
        <w:spacing w:after="60" w:before="60"/>
      </w:pPr>
      <w:r>
        <w:rPr>
          <w:rFonts w:ascii="Arial" w:cs="Arial" w:eastAsia="Arial" w:hAnsi="Arial"/>
          <w:sz w:val="22"/>
          <w:szCs w:val="22"/>
        </w:rPr>
        <w:t xml:space="preserve">SOP ini bertujuan untuk menetapkan prosedur standar dalam melakukan seleksi, kualifikasi, dan evaluasi berkala terhadap pemasok yang memiliki akses atau berinteraksi dengan aset informasi organisasi, guna memastikan bahwa pemasok memenuhi persyaratan keamanan informasi yang telah ditetapkan.</w:t>
      </w:r>
    </w:p>
    <w:p>
      <w:pPr>
        <w:pStyle w:val="Heading1"/>
        <w:spacing w:after="120" w:before="320"/>
      </w:pPr>
      <w:r>
        <w:rPr>
          <w:rFonts w:ascii="Arial" w:cs="Arial" w:eastAsia="Arial" w:hAnsi="Arial"/>
          <w:b/>
          <w:bCs/>
          <w:color w:val="1F4E79"/>
          <w:sz w:val="28"/>
          <w:szCs w:val="28"/>
        </w:rPr>
        <w:t xml:space="preserve">2. RUANG LINGKUP</w:t>
      </w:r>
    </w:p>
    <w:p>
      <w:pPr>
        <w:spacing w:after="60" w:before="60"/>
      </w:pPr>
      <w:r>
        <w:rPr>
          <w:rFonts w:ascii="Arial" w:cs="Arial" w:eastAsia="Arial" w:hAnsi="Arial"/>
          <w:sz w:val="22"/>
          <w:szCs w:val="22"/>
        </w:rPr>
        <w:t xml:space="preserve">Prosedur ini berlaku untuk semua pemasok baru yang akan digunakan oleh organisasi, serta evaluasi berkala terhadap pemasok yang sudah aktif, yang mencakup:</w:t>
      </w:r>
    </w:p>
    <w:p>
      <w:pPr>
        <w:pStyle w:val="ListParagraph"/>
        <w:numPr>
          <w:ilvl w:val="0"/>
          <w:numId w:val="2"/>
        </w:numPr>
        <w:spacing w:after="40" w:before="40"/>
      </w:pPr>
      <w:r>
        <w:rPr>
          <w:rFonts w:ascii="Arial" w:cs="Arial" w:eastAsia="Arial" w:hAnsi="Arial"/>
          <w:sz w:val="22"/>
          <w:szCs w:val="22"/>
        </w:rPr>
        <w:t xml:space="preserve">Penyedia layanan teknologi informasi (hardware, software, cloud, managed services)</w:t>
      </w:r>
    </w:p>
    <w:p>
      <w:pPr>
        <w:pStyle w:val="ListParagraph"/>
        <w:numPr>
          <w:ilvl w:val="0"/>
          <w:numId w:val="2"/>
        </w:numPr>
        <w:spacing w:after="40" w:before="40"/>
      </w:pPr>
      <w:r>
        <w:rPr>
          <w:rFonts w:ascii="Arial" w:cs="Arial" w:eastAsia="Arial" w:hAnsi="Arial"/>
          <w:sz w:val="22"/>
          <w:szCs w:val="22"/>
        </w:rPr>
        <w:t xml:space="preserve">Kontraktor dan sub-kontraktor yang memiliki akses ke fasilitas atau sistem informasi</w:t>
      </w:r>
    </w:p>
    <w:p>
      <w:pPr>
        <w:pStyle w:val="ListParagraph"/>
        <w:numPr>
          <w:ilvl w:val="0"/>
          <w:numId w:val="2"/>
        </w:numPr>
        <w:spacing w:after="40" w:before="40"/>
      </w:pPr>
      <w:r>
        <w:rPr>
          <w:rFonts w:ascii="Arial" w:cs="Arial" w:eastAsia="Arial" w:hAnsi="Arial"/>
          <w:sz w:val="22"/>
          <w:szCs w:val="22"/>
        </w:rPr>
        <w:t xml:space="preserve">Mitra bisnis yang memproses atau menyimpan data organisasi</w:t>
      </w:r>
    </w:p>
    <w:p>
      <w:pPr>
        <w:pStyle w:val="ListParagraph"/>
        <w:numPr>
          <w:ilvl w:val="0"/>
          <w:numId w:val="2"/>
        </w:numPr>
        <w:spacing w:after="40" w:before="40"/>
      </w:pPr>
      <w:r>
        <w:rPr>
          <w:rFonts w:ascii="Arial" w:cs="Arial" w:eastAsia="Arial" w:hAnsi="Arial"/>
          <w:sz w:val="22"/>
          <w:szCs w:val="22"/>
        </w:rPr>
        <w:t xml:space="preserve">Penyedia layanan outsourcing yang terlibat dalam proses bisnis inti</w:t>
      </w:r>
    </w:p>
    <w:p>
      <w:pPr>
        <w:pStyle w:val="Heading1"/>
        <w:spacing w:after="120" w:before="320"/>
      </w:pPr>
      <w:r>
        <w:rPr>
          <w:rFonts w:ascii="Arial" w:cs="Arial" w:eastAsia="Arial" w:hAnsi="Arial"/>
          <w:b/>
          <w:bCs/>
          <w:color w:val="1F4E79"/>
          <w:sz w:val="28"/>
          <w:szCs w:val="28"/>
        </w:rPr>
        <w:t xml:space="preserve">3. REFERENSI</w:t>
      </w:r>
    </w:p>
    <w:p>
      <w:pPr>
        <w:pStyle w:val="ListParagraph"/>
        <w:numPr>
          <w:ilvl w:val="0"/>
          <w:numId w:val="2"/>
        </w:numPr>
        <w:spacing w:after="40" w:before="40"/>
      </w:pPr>
      <w:r>
        <w:rPr>
          <w:rFonts w:ascii="Arial" w:cs="Arial" w:eastAsia="Arial" w:hAnsi="Arial"/>
          <w:sz w:val="22"/>
          <w:szCs w:val="22"/>
        </w:rPr>
        <w:t xml:space="preserve">ISO/IEC 27001:2022 - Annex A 5.19 (Information security in supplier relationships)</w:t>
      </w:r>
    </w:p>
    <w:p>
      <w:pPr>
        <w:pStyle w:val="ListParagraph"/>
        <w:numPr>
          <w:ilvl w:val="0"/>
          <w:numId w:val="2"/>
        </w:numPr>
        <w:spacing w:after="40" w:before="40"/>
      </w:pPr>
      <w:r>
        <w:rPr>
          <w:rFonts w:ascii="Arial" w:cs="Arial" w:eastAsia="Arial" w:hAnsi="Arial"/>
          <w:sz w:val="22"/>
          <w:szCs w:val="22"/>
        </w:rPr>
        <w:t xml:space="preserve">ISO/IEC 27001:2022 - Annex A 5.22 (Monitoring, review and change management of supplier services)</w:t>
      </w:r>
    </w:p>
    <w:p>
      <w:pPr>
        <w:pStyle w:val="ListParagraph"/>
        <w:numPr>
          <w:ilvl w:val="0"/>
          <w:numId w:val="2"/>
        </w:numPr>
        <w:spacing w:after="40" w:before="40"/>
      </w:pPr>
      <w:r>
        <w:rPr>
          <w:rFonts w:ascii="Arial" w:cs="Arial" w:eastAsia="Arial" w:hAnsi="Arial"/>
          <w:sz w:val="22"/>
          <w:szCs w:val="22"/>
        </w:rPr>
        <w:t xml:space="preserve">ISMS-POL-SC-001 - Kebijakan Keamanan Rantai Pasok</w:t>
      </w:r>
    </w:p>
    <w:p>
      <w:pPr>
        <w:pStyle w:val="ListParagraph"/>
        <w:numPr>
          <w:ilvl w:val="0"/>
          <w:numId w:val="2"/>
        </w:numPr>
        <w:spacing w:after="40" w:before="40"/>
      </w:pPr>
      <w:r>
        <w:rPr>
          <w:rFonts w:ascii="Arial" w:cs="Arial" w:eastAsia="Arial" w:hAnsi="Arial"/>
          <w:sz w:val="22"/>
          <w:szCs w:val="22"/>
        </w:rPr>
        <w:t xml:space="preserve">ISMS-FRM-SC-001 - Formulir Penilaian Risiko Pemasok</w:t>
      </w:r>
    </w:p>
    <w:p>
      <w:pPr>
        <w:pStyle w:val="ListParagraph"/>
        <w:numPr>
          <w:ilvl w:val="0"/>
          <w:numId w:val="2"/>
        </w:numPr>
        <w:spacing w:after="40" w:before="40"/>
      </w:pPr>
      <w:r>
        <w:rPr>
          <w:rFonts w:ascii="Arial" w:cs="Arial" w:eastAsia="Arial" w:hAnsi="Arial"/>
          <w:sz w:val="22"/>
          <w:szCs w:val="22"/>
        </w:rPr>
        <w:t xml:space="preserve">ISMS-FRM-SC-002 - Kuesioner Keamanan Pemasok</w:t>
      </w:r>
    </w:p>
    <w:p>
      <w:pPr>
        <w:pStyle w:val="ListParagraph"/>
        <w:numPr>
          <w:ilvl w:val="0"/>
          <w:numId w:val="2"/>
        </w:numPr>
        <w:spacing w:after="40" w:before="40"/>
      </w:pPr>
      <w:r>
        <w:rPr>
          <w:rFonts w:ascii="Arial" w:cs="Arial" w:eastAsia="Arial" w:hAnsi="Arial"/>
          <w:sz w:val="22"/>
          <w:szCs w:val="22"/>
        </w:rPr>
        <w:t xml:space="preserve">ISMS-FRM-SC-005 - Formulir Evaluasi Kinerja Pemasok</w:t>
      </w:r>
    </w:p>
    <w:p>
      <w:pPr>
        <w:pStyle w:val="ListParagraph"/>
        <w:numPr>
          <w:ilvl w:val="0"/>
          <w:numId w:val="2"/>
        </w:numPr>
        <w:spacing w:after="40" w:before="40"/>
      </w:pPr>
      <w:r>
        <w:rPr>
          <w:rFonts w:ascii="Arial" w:cs="Arial" w:eastAsia="Arial" w:hAnsi="Arial"/>
          <w:sz w:val="22"/>
          <w:szCs w:val="22"/>
        </w:rPr>
        <w:t xml:space="preserve">ISMS-FRM-SC-006 - Vendor Scoring Card</w:t>
      </w:r>
    </w:p>
    <w:p>
      <w:pPr>
        <w:pStyle w:val="Heading1"/>
        <w:spacing w:after="120" w:before="320"/>
      </w:pPr>
      <w:r>
        <w:rPr>
          <w:rFonts w:ascii="Arial" w:cs="Arial" w:eastAsia="Arial" w:hAnsi="Arial"/>
          <w:b/>
          <w:bCs/>
          <w:color w:val="1F4E79"/>
          <w:sz w:val="28"/>
          <w:szCs w:val="28"/>
        </w:rPr>
        <w:t xml:space="preserve">4. DEFINISI DAN SINGKATAN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ISTILAH</w:t>
            </w:r>
          </w:p>
        </w:tc>
        <w:tc>
          <w:tcPr>
            <w:tcW w:type="dxa" w:w="7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DEFINISI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Pemasok Baru</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Pemasok yang belum pernah tercatat dalam Daftar Pemasok Tersetujui (Approved Vendor List)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Kualifikasi</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Proses penilaian kemampuan dan kelayakan pemasok untuk memenuhi persyaratan organisasi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AVL</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Vendor List - Daftar pemasok yang telah memenuhi persyaratan dan disetujui untuk digunakan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Person In Charge - Penanggungjawab proses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RFP/RFQ</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for Proposal / Request for Quotation - Dokumen permintaan penawaran kepada pemasok</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Due Diligence</w:t>
            </w:r>
          </w:p>
        </w:tc>
        <w:tc>
          <w:tcPr>
            <w:tcW w:type="dxa" w:w="7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Investigasi menyeluruh terhadap pemasok sebelum menjalin hubungan bisnis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Scoring</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 penilaian terstruktur untuk mengukur kinerja dan kepatuhan pemasok</w:t>
            </w:r>
          </w:p>
        </w:tc>
      </w:tr>
    </w:tbl>
    <w:p>
      <w:pPr>
        <w:pStyle w:val="Heading1"/>
        <w:spacing w:after="120" w:before="320"/>
      </w:pPr>
      <w:r>
        <w:rPr>
          <w:rFonts w:ascii="Arial" w:cs="Arial" w:eastAsia="Arial" w:hAnsi="Arial"/>
          <w:b/>
          <w:bCs/>
          <w:color w:val="1F4E79"/>
          <w:sz w:val="28"/>
          <w:szCs w:val="28"/>
        </w:rPr>
        <w:t xml:space="preserve">5. PERAN DAN TANGGUNG JAWAB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PERAN</w:t>
            </w:r>
          </w:p>
        </w:tc>
        <w:tc>
          <w:tcPr>
            <w:tcW w:type="dxa" w:w="6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TANGGUNG JAWAB DALAM SOP INI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Pengadaan (Procurement)</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Mengkoordinasikan proses seleksi pemasok; mengirimkan kuesioner dan formulir; mengelola database AVL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Keamanan Informasi (ISMS)</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Melakukan penilaian risiko keamanan; mengevaluasi respons kuesioner; memberikan rekomendasi keamanan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Pemilik Proses Bisnis (Business Owner)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Mengidentifikasi kebutuhan pemasok; berpartisipasi dalam evaluasi teknis; menyetujui keputusan seleksi awal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CISO</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Menyetujui pemasok kategori risiko kritis dan tinggi; menetapkan persyaratan keamanan khusus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Manajemen / Direktur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Memberikan persetujuan akhir untuk pemasok strategis; menetapkan anggaran dan prioritas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Legal</w:t>
            </w:r>
          </w:p>
        </w:tc>
        <w:tc>
          <w:tcPr>
            <w:tcW w:type="dxa" w:w="62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Mereview aspek hukum; memastikan kontrak memuat ketentuan keamanan yang memadai</w:t>
            </w:r>
          </w:p>
        </w:tc>
      </w:tr>
    </w:tbl>
    <w:p>
      <w:pPr>
        <w:pStyle w:val="Heading1"/>
        <w:spacing w:after="120" w:before="320"/>
      </w:pPr>
      <w:r>
        <w:rPr>
          <w:rFonts w:ascii="Arial" w:cs="Arial" w:eastAsia="Arial" w:hAnsi="Arial"/>
          <w:b/>
          <w:bCs/>
          <w:color w:val="1F4E79"/>
          <w:sz w:val="28"/>
          <w:szCs w:val="28"/>
        </w:rPr>
        <w:t xml:space="preserve">6. ALUR PROSES (FLOWCHART)</w:t>
      </w:r>
    </w:p>
    <w:p>
      <w:pPr>
        <w:spacing w:after="60" w:before="60"/>
      </w:pPr>
      <w:r>
        <w:rPr>
          <w:rFonts w:ascii="Arial" w:cs="Arial" w:eastAsia="Arial" w:hAnsi="Arial"/>
          <w:sz w:val="22"/>
          <w:szCs w:val="22"/>
        </w:rPr>
        <w:t xml:space="preserve">Berikut adalah alur proses seleksi dan evaluasi pemasok:</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Identifikasi Kebutuhan Pemasok</w:t>
            </w:r>
          </w:p>
          <w:p>
            <w:r>
              <w:rPr>
                <w:rFonts w:ascii="Arial" w:cs="Arial" w:eastAsia="Arial" w:hAnsi="Arial"/>
                <w:color w:val="404040"/>
                <w:sz w:val="20"/>
                <w:szCs w:val="20"/>
              </w:rPr>
              <w:t xml:space="preserve">Pemilik Proses mengidentifikasi kebutuhan; Pengadaan menerima permintaan resmi | Dokumen: ISMS-FRM-SC-004</w:t>
            </w:r>
          </w:p>
        </w:tc>
      </w:tr>
      <w:tr>
        <w:tc>
          <w:tcPr>
            <w:tcW w:type="dxa" w:w="1000"/>
            <w:tcBorders>
              <w:top w:val="none"/>
              <w:left w:val="none"/>
              <w:bottom w:val="none"/>
              <w:right w:val="none"/>
            </w:tcBorders>
          </w:tcPr>
          <w:p>
            <w:pPr>
              <w:jc w:val="center"/>
            </w:pPr>
            <w:r>
              <w:rPr>
                <w:color w:val="2E75B6"/>
                <w:sz w:val="28"/>
                <w:szCs w:val="28"/>
              </w:rPr>
              <w:t xml:space="preserve">↓</w:t>
            </w:r>
          </w:p>
        </w:tc>
        <w:tc>
          <w:tcPr>
            <w:tcW w:type="dxa" w:w="8026"/>
            <w:tcBorders>
              <w:top w:val="none"/>
              <w:left w:val="none"/>
              <w:bottom w:val="none"/>
              <w:right w:val="none"/>
            </w:tcBorders>
          </w:tcPr>
          <w:p/>
        </w:tc>
      </w:tr>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Klasifikasi Risiko Pemasok</w:t>
            </w:r>
          </w:p>
          <w:p>
            <w:r>
              <w:rPr>
                <w:rFonts w:ascii="Arial" w:cs="Arial" w:eastAsia="Arial" w:hAnsi="Arial"/>
                <w:color w:val="404040"/>
                <w:sz w:val="20"/>
                <w:szCs w:val="20"/>
              </w:rPr>
              <w:t xml:space="preserve">Tim ISMS menentukan kategori risiko (Kritis/Tinggi/Menengah/Rendah) | Dokumen: ISMS-FRM-SC-001</w:t>
            </w:r>
          </w:p>
        </w:tc>
      </w:tr>
      <w:tr>
        <w:tc>
          <w:tcPr>
            <w:tcW w:type="dxa" w:w="1000"/>
            <w:tcBorders>
              <w:top w:val="none"/>
              <w:left w:val="none"/>
              <w:bottom w:val="none"/>
              <w:right w:val="none"/>
            </w:tcBorders>
          </w:tcPr>
          <w:p>
            <w:pPr>
              <w:jc w:val="center"/>
            </w:pPr>
            <w:r>
              <w:rPr>
                <w:color w:val="2E75B6"/>
                <w:sz w:val="28"/>
                <w:szCs w:val="28"/>
              </w:rPr>
              <w:t xml:space="preserve">↓</w:t>
            </w:r>
          </w:p>
        </w:tc>
        <w:tc>
          <w:tcPr>
            <w:tcW w:type="dxa" w:w="8026"/>
            <w:tcBorders>
              <w:top w:val="none"/>
              <w:left w:val="none"/>
              <w:bottom w:val="none"/>
              <w:right w:val="none"/>
            </w:tcBorders>
          </w:tcPr>
          <w:p/>
        </w:tc>
      </w:tr>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Pengiriman RFP/RFQ dan Kuesioner Keamanan</w:t>
            </w:r>
          </w:p>
          <w:p>
            <w:r>
              <w:rPr>
                <w:rFonts w:ascii="Arial" w:cs="Arial" w:eastAsia="Arial" w:hAnsi="Arial"/>
                <w:color w:val="404040"/>
                <w:sz w:val="20"/>
                <w:szCs w:val="20"/>
              </w:rPr>
              <w:t xml:space="preserve">Tim Pengadaan mengirim RFP/RFQ disertai Kuesioner Keamanan kepada calon pemasok | Dokumen: ISMS-FRM-SC-002</w:t>
            </w:r>
          </w:p>
        </w:tc>
      </w:tr>
      <w:tr>
        <w:tc>
          <w:tcPr>
            <w:tcW w:type="dxa" w:w="1000"/>
            <w:tcBorders>
              <w:top w:val="none"/>
              <w:left w:val="none"/>
              <w:bottom w:val="none"/>
              <w:right w:val="none"/>
            </w:tcBorders>
          </w:tcPr>
          <w:p>
            <w:pPr>
              <w:jc w:val="center"/>
            </w:pPr>
            <w:r>
              <w:rPr>
                <w:color w:val="2E75B6"/>
                <w:sz w:val="28"/>
                <w:szCs w:val="28"/>
              </w:rPr>
              <w:t xml:space="preserve">↓</w:t>
            </w:r>
          </w:p>
        </w:tc>
        <w:tc>
          <w:tcPr>
            <w:tcW w:type="dxa" w:w="8026"/>
            <w:tcBorders>
              <w:top w:val="none"/>
              <w:left w:val="none"/>
              <w:bottom w:val="none"/>
              <w:right w:val="none"/>
            </w:tcBorders>
          </w:tcPr>
          <w:p/>
        </w:tc>
      </w:tr>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Evaluasi Teknis dan Penilaian Keamanan</w:t>
            </w:r>
          </w:p>
          <w:p>
            <w:r>
              <w:rPr>
                <w:rFonts w:ascii="Arial" w:cs="Arial" w:eastAsia="Arial" w:hAnsi="Arial"/>
                <w:color w:val="404040"/>
                <w:sz w:val="20"/>
                <w:szCs w:val="20"/>
              </w:rPr>
              <w:t xml:space="preserve">Tim Teknis dan Tim ISMS mengevaluasi respons; melakukan due diligence; verifikasi sertifikasi</w:t>
            </w:r>
          </w:p>
        </w:tc>
      </w:tr>
      <w:tr>
        <w:tc>
          <w:tcPr>
            <w:tcW w:type="dxa" w:w="1000"/>
            <w:tcBorders>
              <w:top w:val="none"/>
              <w:left w:val="none"/>
              <w:bottom w:val="none"/>
              <w:right w:val="none"/>
            </w:tcBorders>
          </w:tcPr>
          <w:p>
            <w:pPr>
              <w:jc w:val="center"/>
            </w:pPr>
            <w:r>
              <w:rPr>
                <w:color w:val="2E75B6"/>
                <w:sz w:val="28"/>
                <w:szCs w:val="28"/>
              </w:rPr>
              <w:t xml:space="preserve">↓</w:t>
            </w:r>
          </w:p>
        </w:tc>
        <w:tc>
          <w:tcPr>
            <w:tcW w:type="dxa" w:w="8026"/>
            <w:tcBorders>
              <w:top w:val="none"/>
              <w:left w:val="none"/>
              <w:bottom w:val="none"/>
              <w:right w:val="none"/>
            </w:tcBorders>
          </w:tcPr>
          <w:p/>
        </w:tc>
      </w:tr>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Vendor Scoring dan Rekomendasi</w:t>
            </w:r>
          </w:p>
          <w:p>
            <w:r>
              <w:rPr>
                <w:rFonts w:ascii="Arial" w:cs="Arial" w:eastAsia="Arial" w:hAnsi="Arial"/>
                <w:color w:val="404040"/>
                <w:sz w:val="20"/>
                <w:szCs w:val="20"/>
              </w:rPr>
              <w:t xml:space="preserve">Penilaian menggunakan Vendor Scoring Card; penentuan pemasok yang lolos seleksi | Dokumen: ISMS-FRM-SC-006</w:t>
            </w:r>
          </w:p>
        </w:tc>
      </w:tr>
      <w:tr>
        <w:tc>
          <w:tcPr>
            <w:tcW w:type="dxa" w:w="1000"/>
            <w:tcBorders>
              <w:top w:val="none"/>
              <w:left w:val="none"/>
              <w:bottom w:val="none"/>
              <w:right w:val="none"/>
            </w:tcBorders>
          </w:tcPr>
          <w:p>
            <w:pPr>
              <w:jc w:val="center"/>
            </w:pPr>
            <w:r>
              <w:rPr>
                <w:color w:val="2E75B6"/>
                <w:sz w:val="28"/>
                <w:szCs w:val="28"/>
              </w:rPr>
              <w:t xml:space="preserve">↓</w:t>
            </w:r>
          </w:p>
        </w:tc>
        <w:tc>
          <w:tcPr>
            <w:tcW w:type="dxa" w:w="8026"/>
            <w:tcBorders>
              <w:top w:val="none"/>
              <w:left w:val="none"/>
              <w:bottom w:val="none"/>
              <w:right w:val="none"/>
            </w:tcBorders>
          </w:tcPr>
          <w:p/>
        </w:tc>
      </w:tr>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Persetujuan dan Pendaftaran ke AVL</w:t>
            </w:r>
          </w:p>
          <w:p>
            <w:r>
              <w:rPr>
                <w:rFonts w:ascii="Arial" w:cs="Arial" w:eastAsia="Arial" w:hAnsi="Arial"/>
                <w:color w:val="404040"/>
                <w:sz w:val="20"/>
                <w:szCs w:val="20"/>
              </w:rPr>
              <w:t xml:space="preserve">CISO menyetujui; pemasok terdaftar di Approved Vendor List | Dokumen: ISMS-FRM-SC-003</w:t>
            </w:r>
          </w:p>
        </w:tc>
      </w:tr>
      <w:tr>
        <w:tc>
          <w:tcPr>
            <w:tcW w:type="dxa" w:w="1000"/>
            <w:tcBorders>
              <w:top w:val="none"/>
              <w:left w:val="none"/>
              <w:bottom w:val="none"/>
              <w:right w:val="none"/>
            </w:tcBorders>
          </w:tcPr>
          <w:p>
            <w:pPr>
              <w:jc w:val="center"/>
            </w:pPr>
            <w:r>
              <w:rPr>
                <w:color w:val="2E75B6"/>
                <w:sz w:val="28"/>
                <w:szCs w:val="28"/>
              </w:rPr>
              <w:t xml:space="preserve">↓</w:t>
            </w:r>
          </w:p>
        </w:tc>
        <w:tc>
          <w:tcPr>
            <w:tcW w:type="dxa" w:w="8026"/>
            <w:tcBorders>
              <w:top w:val="none"/>
              <w:left w:val="none"/>
              <w:bottom w:val="none"/>
              <w:right w:val="none"/>
            </w:tcBorders>
          </w:tcPr>
          <w:p/>
        </w:tc>
      </w:tr>
      <w:tr>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w:t>
            </w:r>
          </w:p>
        </w:tc>
        <w:tc>
          <w:tcPr>
            <w:tcW w:type="dxa" w:w="8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F4E79"/>
                <w:sz w:val="22"/>
                <w:szCs w:val="22"/>
              </w:rPr>
              <w:t xml:space="preserve">Pemantauan dan Evaluasi Berkala</w:t>
            </w:r>
          </w:p>
          <w:p>
            <w:r>
              <w:rPr>
                <w:rFonts w:ascii="Arial" w:cs="Arial" w:eastAsia="Arial" w:hAnsi="Arial"/>
                <w:color w:val="404040"/>
                <w:sz w:val="20"/>
                <w:szCs w:val="20"/>
              </w:rPr>
              <w:t xml:space="preserve">Evaluasi kinerja tahunan; audit keamanan; pembaruan status AVL | Dokumen: ISMS-FRM-SC-005</w:t>
            </w:r>
          </w:p>
        </w:tc>
      </w:tr>
    </w:tbl>
    <w:p>
      <w:pPr>
        <w:pStyle w:val="Heading1"/>
        <w:spacing w:after="120" w:before="320"/>
      </w:pPr>
      <w:r>
        <w:rPr>
          <w:rFonts w:ascii="Arial" w:cs="Arial" w:eastAsia="Arial" w:hAnsi="Arial"/>
          <w:b/>
          <w:bCs/>
          <w:color w:val="1F4E79"/>
          <w:sz w:val="28"/>
          <w:szCs w:val="28"/>
        </w:rPr>
        <w:t xml:space="preserve">7. PROSEDUR DETAIL</w:t>
      </w:r>
    </w:p>
    <w:p>
      <w:pPr>
        <w:pStyle w:val="Heading2"/>
        <w:spacing w:after="80" w:before="200"/>
      </w:pPr>
      <w:r>
        <w:rPr>
          <w:rFonts w:ascii="Arial" w:cs="Arial" w:eastAsia="Arial" w:hAnsi="Arial"/>
          <w:b/>
          <w:bCs/>
          <w:color w:val="2E75B6"/>
          <w:sz w:val="24"/>
          <w:szCs w:val="24"/>
        </w:rPr>
        <w:t xml:space="preserve">7.1 Tahap 1: Identifikasi Kebutuhan Pemasok</w:t>
      </w:r>
    </w:p>
    <w:p>
      <w:pPr>
        <w:spacing w:after="60" w:before="60"/>
      </w:pPr>
      <w:r>
        <w:rPr>
          <w:rFonts w:ascii="Arial" w:cs="Arial" w:eastAsia="Arial" w:hAnsi="Arial"/>
          <w:sz w:val="22"/>
          <w:szCs w:val="22"/>
        </w:rPr>
        <w:t xml:space="preserve">Langkah-langkah:</w:t>
      </w:r>
    </w:p>
    <w:p>
      <w:pPr>
        <w:pStyle w:val="ListParagraph"/>
        <w:numPr>
          <w:ilvl w:val="0"/>
          <w:numId w:val="3"/>
        </w:numPr>
        <w:spacing w:after="40" w:before="40"/>
      </w:pPr>
      <w:r>
        <w:rPr>
          <w:rFonts w:ascii="Arial" w:cs="Arial" w:eastAsia="Arial" w:hAnsi="Arial"/>
          <w:sz w:val="22"/>
          <w:szCs w:val="22"/>
        </w:rPr>
        <w:t xml:space="preserve">Pemilik Proses Bisnis mengajukan permintaan penggunaan pemasok baru kepada Tim Pengadaan menggunakan formulir Permintaan Pemasok Baru (ISMS-FRM-SC-004).</w:t>
      </w:r>
    </w:p>
    <w:p>
      <w:pPr>
        <w:pStyle w:val="ListParagraph"/>
        <w:numPr>
          <w:ilvl w:val="0"/>
          <w:numId w:val="3"/>
        </w:numPr>
        <w:spacing w:after="40" w:before="40"/>
      </w:pPr>
      <w:r>
        <w:rPr>
          <w:rFonts w:ascii="Arial" w:cs="Arial" w:eastAsia="Arial" w:hAnsi="Arial"/>
          <w:sz w:val="22"/>
          <w:szCs w:val="22"/>
        </w:rPr>
        <w:t xml:space="preserve">Tim Pengadaan memverifikasi apakah calon pemasok sudah terdaftar dalam Approved Vendor List (AVL).</w:t>
      </w:r>
    </w:p>
    <w:p>
      <w:pPr>
        <w:pStyle w:val="ListParagraph"/>
        <w:numPr>
          <w:ilvl w:val="0"/>
          <w:numId w:val="3"/>
        </w:numPr>
        <w:spacing w:after="40" w:before="40"/>
      </w:pPr>
      <w:r>
        <w:rPr>
          <w:rFonts w:ascii="Arial" w:cs="Arial" w:eastAsia="Arial" w:hAnsi="Arial"/>
          <w:sz w:val="22"/>
          <w:szCs w:val="22"/>
        </w:rPr>
        <w:t xml:space="preserve">Jika sudah terdaftar, langsung lanjut ke proses pengadaan standar.</w:t>
      </w:r>
    </w:p>
    <w:p>
      <w:pPr>
        <w:pStyle w:val="ListParagraph"/>
        <w:numPr>
          <w:ilvl w:val="0"/>
          <w:numId w:val="3"/>
        </w:numPr>
        <w:spacing w:after="40" w:before="40"/>
      </w:pPr>
      <w:r>
        <w:rPr>
          <w:rFonts w:ascii="Arial" w:cs="Arial" w:eastAsia="Arial" w:hAnsi="Arial"/>
          <w:sz w:val="22"/>
          <w:szCs w:val="22"/>
        </w:rPr>
        <w:t xml:space="preserve">Jika belum terdaftar, inisiasi proses kualifikasi pemasok baru.</w:t>
      </w:r>
    </w:p>
    <w:p>
      <w:pPr>
        <w:spacing w:after="60" w:before="60"/>
      </w:pPr>
      <w:r>
        <w:rPr>
          <w:rFonts w:ascii="Arial" w:cs="Arial" w:eastAsia="Arial" w:hAnsi="Arial"/>
          <w:i/>
          <w:iCs/>
          <w:color w:val="595959"/>
          <w:sz w:val="22"/>
          <w:szCs w:val="22"/>
        </w:rPr>
        <w:t xml:space="preserve">Batas waktu: Verifikasi AVL diselesaikan dalam 2 hari kerja.</w:t>
      </w:r>
    </w:p>
    <w:p>
      <w:pPr>
        <w:pStyle w:val="Heading2"/>
        <w:spacing w:after="80" w:before="200"/>
      </w:pPr>
      <w:r>
        <w:rPr>
          <w:rFonts w:ascii="Arial" w:cs="Arial" w:eastAsia="Arial" w:hAnsi="Arial"/>
          <w:b/>
          <w:bCs/>
          <w:color w:val="2E75B6"/>
          <w:sz w:val="24"/>
          <w:szCs w:val="24"/>
        </w:rPr>
        <w:t xml:space="preserve">7.2 Tahap 2: Klasifikasi Risiko Pemasok</w:t>
      </w:r>
    </w:p>
    <w:p>
      <w:pPr>
        <w:spacing w:after="60" w:before="60"/>
      </w:pPr>
      <w:r>
        <w:rPr>
          <w:rFonts w:ascii="Arial" w:cs="Arial" w:eastAsia="Arial" w:hAnsi="Arial"/>
          <w:sz w:val="22"/>
          <w:szCs w:val="22"/>
        </w:rPr>
        <w:t xml:space="preserve">Tim Keamanan Informasi melakukan klasifikasi risiko berdasarkan kriteria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KATEGORI</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KRITERIA UTAMA</w:t>
            </w:r>
          </w:p>
        </w:tc>
        <w:tc>
          <w:tcPr>
            <w:tcW w:type="dxa" w:w="47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PERSYARATAN MINIMUM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KRITIS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Akses ke data sensitif/rahasia; layanan inti bisnis; akses ke sistem kritis</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27001 aktif; SOC 2 Type II; Audit on-site; BCP/DRP</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TINGGI</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Akses ke data internal; layanan penting; koneksi langsung ke jaringan</w:t>
            </w:r>
          </w:p>
        </w:tc>
        <w:tc>
          <w:tcPr>
            <w:tcW w:type="dxa" w:w="4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Kuesioner lengkap; kebijakan ISMS; laporan insiden 24 jam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MENENGAH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Akses terbatas ke sistem; layanan pendukung</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NDA; kuesioner dasar; pelatihan keamanan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RENDAH</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Tidak ada akses ke sistem atau data sensitif</w:t>
            </w:r>
          </w:p>
        </w:tc>
        <w:tc>
          <w:tcPr>
            <w:tcW w:type="dxa" w:w="47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NDA; pernyataan kepatuhan kebijakan</w:t>
            </w:r>
          </w:p>
        </w:tc>
      </w:tr>
    </w:tbl>
    <w:p>
      <w:pPr>
        <w:pStyle w:val="Heading2"/>
        <w:spacing w:after="80" w:before="200"/>
      </w:pPr>
      <w:r>
        <w:rPr>
          <w:rFonts w:ascii="Arial" w:cs="Arial" w:eastAsia="Arial" w:hAnsi="Arial"/>
          <w:b/>
          <w:bCs/>
          <w:color w:val="2E75B6"/>
          <w:sz w:val="24"/>
          <w:szCs w:val="24"/>
        </w:rPr>
        <w:t xml:space="preserve">7.3 Tahap 3: Pengiriman Kuesioner dan Due Diligence</w:t>
      </w:r>
    </w:p>
    <w:p>
      <w:pPr>
        <w:spacing w:after="60" w:before="60"/>
      </w:pPr>
      <w:r>
        <w:rPr>
          <w:rFonts w:ascii="Arial" w:cs="Arial" w:eastAsia="Arial" w:hAnsi="Arial"/>
          <w:sz w:val="22"/>
          <w:szCs w:val="22"/>
        </w:rPr>
        <w:t xml:space="preserve">Berdasarkan kategori risiko, Tim Pengadaan mengirimkan paket dokumen berikut kepada calon pemasok:</w:t>
      </w:r>
    </w:p>
    <w:p>
      <w:pPr>
        <w:pStyle w:val="ListParagraph"/>
        <w:numPr>
          <w:ilvl w:val="0"/>
          <w:numId w:val="2"/>
        </w:numPr>
        <w:spacing w:after="40" w:before="40"/>
      </w:pPr>
      <w:r>
        <w:rPr>
          <w:rFonts w:ascii="Arial" w:cs="Arial" w:eastAsia="Arial" w:hAnsi="Arial"/>
          <w:sz w:val="22"/>
          <w:szCs w:val="22"/>
        </w:rPr>
        <w:t xml:space="preserve">RFP/RFQ dengan persyaratan keamanan yang relevan</w:t>
      </w:r>
    </w:p>
    <w:p>
      <w:pPr>
        <w:pStyle w:val="ListParagraph"/>
        <w:numPr>
          <w:ilvl w:val="0"/>
          <w:numId w:val="2"/>
        </w:numPr>
        <w:spacing w:after="40" w:before="40"/>
      </w:pPr>
      <w:r>
        <w:rPr>
          <w:rFonts w:ascii="Arial" w:cs="Arial" w:eastAsia="Arial" w:hAnsi="Arial"/>
          <w:sz w:val="22"/>
          <w:szCs w:val="22"/>
        </w:rPr>
        <w:t xml:space="preserve">Kuesioner Keamanan Pemasok (ISMS-FRM-SC-002) - disesuaikan dengan kategori risiko</w:t>
      </w:r>
    </w:p>
    <w:p>
      <w:pPr>
        <w:pStyle w:val="ListParagraph"/>
        <w:numPr>
          <w:ilvl w:val="0"/>
          <w:numId w:val="2"/>
        </w:numPr>
        <w:spacing w:after="40" w:before="40"/>
      </w:pPr>
      <w:r>
        <w:rPr>
          <w:rFonts w:ascii="Arial" w:cs="Arial" w:eastAsia="Arial" w:hAnsi="Arial"/>
          <w:sz w:val="22"/>
          <w:szCs w:val="22"/>
        </w:rPr>
        <w:t xml:space="preserve">Salinan persyaratan dari Kebijakan Keamanan Rantai Pasok (ISMS-POL-SC-001)</w:t>
      </w:r>
    </w:p>
    <w:p>
      <w:pPr>
        <w:pStyle w:val="ListParagraph"/>
        <w:numPr>
          <w:ilvl w:val="0"/>
          <w:numId w:val="2"/>
        </w:numPr>
        <w:spacing w:after="40" w:before="40"/>
      </w:pPr>
      <w:r>
        <w:rPr>
          <w:rFonts w:ascii="Arial" w:cs="Arial" w:eastAsia="Arial" w:hAnsi="Arial"/>
          <w:sz w:val="22"/>
          <w:szCs w:val="22"/>
        </w:rPr>
        <w:t xml:space="preserve">Permintaan dokumen pendukung (sertifikasi, laporan audit, kebijakan internal)</w:t>
      </w:r>
    </w:p>
    <w:p>
      <w:pPr>
        <w:spacing w:after="60" w:before="60"/>
      </w:pPr>
      <w:r>
        <w:rPr>
          <w:rFonts w:ascii="Arial" w:cs="Arial" w:eastAsia="Arial" w:hAnsi="Arial"/>
          <w:i/>
          <w:iCs/>
          <w:color w:val="595959"/>
          <w:sz w:val="22"/>
          <w:szCs w:val="22"/>
        </w:rPr>
        <w:t xml:space="preserve">Batas waktu respon pemasok: Risiko Kritis - 14 hari kerja; Risiko Tinggi - 10 hari kerja; Risiko Menengah/Rendah - 7 hari kerja.</w:t>
      </w:r>
    </w:p>
    <w:p>
      <w:pPr>
        <w:pStyle w:val="Heading2"/>
        <w:spacing w:after="80" w:before="200"/>
      </w:pPr>
      <w:r>
        <w:rPr>
          <w:rFonts w:ascii="Arial" w:cs="Arial" w:eastAsia="Arial" w:hAnsi="Arial"/>
          <w:b/>
          <w:bCs/>
          <w:color w:val="2E75B6"/>
          <w:sz w:val="24"/>
          <w:szCs w:val="24"/>
        </w:rPr>
        <w:t xml:space="preserve">7.4 Tahap 4: Evaluasi dan Penilaian</w:t>
      </w:r>
    </w:p>
    <w:p>
      <w:pPr>
        <w:spacing w:after="60" w:before="60"/>
      </w:pPr>
      <w:r>
        <w:rPr>
          <w:rFonts w:ascii="Arial" w:cs="Arial" w:eastAsia="Arial" w:hAnsi="Arial"/>
          <w:sz w:val="22"/>
          <w:szCs w:val="22"/>
        </w:rPr>
        <w:t xml:space="preserve">Tim Keamanan Informasi melakukan evaluasi terhadap respons kuesioner dan dokumen yang diberikan, mencakup:</w:t>
      </w:r>
    </w:p>
    <w:p>
      <w:pPr>
        <w:pStyle w:val="ListParagraph"/>
        <w:numPr>
          <w:ilvl w:val="0"/>
          <w:numId w:val="3"/>
        </w:numPr>
        <w:spacing w:after="40" w:before="40"/>
      </w:pPr>
      <w:r>
        <w:rPr>
          <w:rFonts w:ascii="Arial" w:cs="Arial" w:eastAsia="Arial" w:hAnsi="Arial"/>
          <w:sz w:val="22"/>
          <w:szCs w:val="22"/>
        </w:rPr>
        <w:t xml:space="preserve">Verifikasi kelengkapan dan kebenaran respons kuesioner keamanan</w:t>
      </w:r>
    </w:p>
    <w:p>
      <w:pPr>
        <w:pStyle w:val="ListParagraph"/>
        <w:numPr>
          <w:ilvl w:val="0"/>
          <w:numId w:val="3"/>
        </w:numPr>
        <w:spacing w:after="40" w:before="40"/>
      </w:pPr>
      <w:r>
        <w:rPr>
          <w:rFonts w:ascii="Arial" w:cs="Arial" w:eastAsia="Arial" w:hAnsi="Arial"/>
          <w:sz w:val="22"/>
          <w:szCs w:val="22"/>
        </w:rPr>
        <w:t xml:space="preserve">Verifikasi sertifikasi dan dokumen pendukung (hubungi issuer jika perlu)</w:t>
      </w:r>
    </w:p>
    <w:p>
      <w:pPr>
        <w:pStyle w:val="ListParagraph"/>
        <w:numPr>
          <w:ilvl w:val="0"/>
          <w:numId w:val="3"/>
        </w:numPr>
        <w:spacing w:after="40" w:before="40"/>
      </w:pPr>
      <w:r>
        <w:rPr>
          <w:rFonts w:ascii="Arial" w:cs="Arial" w:eastAsia="Arial" w:hAnsi="Arial"/>
          <w:sz w:val="22"/>
          <w:szCs w:val="22"/>
        </w:rPr>
        <w:t xml:space="preserve">Analisis gap antara persyaratan organisasi dengan kondisi aktual pemasok</w:t>
      </w:r>
    </w:p>
    <w:p>
      <w:pPr>
        <w:pStyle w:val="ListParagraph"/>
        <w:numPr>
          <w:ilvl w:val="0"/>
          <w:numId w:val="3"/>
        </w:numPr>
        <w:spacing w:after="40" w:before="40"/>
      </w:pPr>
      <w:r>
        <w:rPr>
          <w:rFonts w:ascii="Arial" w:cs="Arial" w:eastAsia="Arial" w:hAnsi="Arial"/>
          <w:sz w:val="22"/>
          <w:szCs w:val="22"/>
        </w:rPr>
        <w:t xml:space="preserve">Untuk pemasok Kritis: kunjungan on-site atau audit virtual untuk verifikasi langsung</w:t>
      </w:r>
    </w:p>
    <w:p>
      <w:pPr>
        <w:pStyle w:val="ListParagraph"/>
        <w:numPr>
          <w:ilvl w:val="0"/>
          <w:numId w:val="3"/>
        </w:numPr>
        <w:spacing w:after="40" w:before="40"/>
      </w:pPr>
      <w:r>
        <w:rPr>
          <w:rFonts w:ascii="Arial" w:cs="Arial" w:eastAsia="Arial" w:hAnsi="Arial"/>
          <w:sz w:val="22"/>
          <w:szCs w:val="22"/>
        </w:rPr>
        <w:t xml:space="preserve">Dokumentasi hasil evaluasi dalam Laporan Penilaian Risiko Pemasok</w:t>
      </w:r>
    </w:p>
    <w:p>
      <w:pPr>
        <w:pStyle w:val="ListParagraph"/>
        <w:numPr>
          <w:ilvl w:val="0"/>
          <w:numId w:val="3"/>
        </w:numPr>
        <w:spacing w:after="40" w:before="40"/>
      </w:pPr>
      <w:r>
        <w:rPr>
          <w:rFonts w:ascii="Arial" w:cs="Arial" w:eastAsia="Arial" w:hAnsi="Arial"/>
          <w:sz w:val="22"/>
          <w:szCs w:val="22"/>
        </w:rPr>
        <w:t xml:space="preserve">Jika ditemukan gap signifikan, diskusikan rencana perbaikan dengan pemasok</w:t>
      </w:r>
    </w:p>
    <w:p>
      <w:pPr>
        <w:pStyle w:val="Heading2"/>
        <w:spacing w:after="80" w:before="200"/>
      </w:pPr>
      <w:r>
        <w:rPr>
          <w:rFonts w:ascii="Arial" w:cs="Arial" w:eastAsia="Arial" w:hAnsi="Arial"/>
          <w:b/>
          <w:bCs/>
          <w:color w:val="2E75B6"/>
          <w:sz w:val="24"/>
          <w:szCs w:val="24"/>
        </w:rPr>
        <w:t xml:space="preserve">7.5 Tahap 5: Vendor Scoring dan Rekomendasi</w:t>
      </w:r>
    </w:p>
    <w:p>
      <w:pPr>
        <w:spacing w:after="60" w:before="60"/>
      </w:pPr>
      <w:r>
        <w:rPr>
          <w:rFonts w:ascii="Arial" w:cs="Arial" w:eastAsia="Arial" w:hAnsi="Arial"/>
          <w:sz w:val="22"/>
          <w:szCs w:val="22"/>
        </w:rPr>
        <w:t xml:space="preserve">Penilaian menggunakan Vendor Scoring Card (ISMS-FRM-SC-006) dengan komponen bobot sebagai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KOMPONEN PENILAIAN</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BOBOT</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Keamanan Informasi &amp; Kepatuhan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Sertifikasi, kebijakan, kontrol keamanan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Kemampuan Teknis &amp; Layanan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25%</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Kualitas produk/layanan, kapasitas teknis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Rekam Jejak &amp; Reputasi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Pengalaman, referensi, riwayat insiden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Kelangsungan Bisnis (BCP/DRP)</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15%</w:t>
            </w:r>
          </w:p>
        </w:tc>
        <w:tc>
          <w:tcPr>
            <w:tcW w:type="dxa" w:w="4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Rencana pemulihan, redundansi, SLA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Harga dan Nilai Komersial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Kesesuaian harga dengan standar pasar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Skor minimum untuk disetujui: 70/100</w:t>
            </w:r>
          </w:p>
        </w:tc>
      </w:tr>
    </w:tbl>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Interpretasi skor:</w:t>
      </w:r>
    </w:p>
    <w:p>
      <w:pPr>
        <w:pStyle w:val="ListParagraph"/>
        <w:numPr>
          <w:ilvl w:val="0"/>
          <w:numId w:val="2"/>
        </w:numPr>
        <w:spacing w:after="40" w:before="40"/>
      </w:pPr>
      <w:r>
        <w:rPr>
          <w:rFonts w:ascii="Arial" w:cs="Arial" w:eastAsia="Arial" w:hAnsi="Arial"/>
          <w:sz w:val="22"/>
          <w:szCs w:val="22"/>
        </w:rPr>
        <w:t xml:space="preserve">90 - 100: Disetujui tanpa syarat - Pemasok direkomendasikan</w:t>
      </w:r>
    </w:p>
    <w:p>
      <w:pPr>
        <w:pStyle w:val="ListParagraph"/>
        <w:numPr>
          <w:ilvl w:val="0"/>
          <w:numId w:val="2"/>
        </w:numPr>
        <w:spacing w:after="40" w:before="40"/>
      </w:pPr>
      <w:r>
        <w:rPr>
          <w:rFonts w:ascii="Arial" w:cs="Arial" w:eastAsia="Arial" w:hAnsi="Arial"/>
          <w:sz w:val="22"/>
          <w:szCs w:val="22"/>
        </w:rPr>
        <w:t xml:space="preserve">70 - 89: Disetujui bersyarat - Rencana perbaikan diperlukan dalam 90 hari</w:t>
      </w:r>
    </w:p>
    <w:p>
      <w:pPr>
        <w:pStyle w:val="ListParagraph"/>
        <w:numPr>
          <w:ilvl w:val="0"/>
          <w:numId w:val="2"/>
        </w:numPr>
        <w:spacing w:after="40" w:before="40"/>
      </w:pPr>
      <w:r>
        <w:rPr>
          <w:rFonts w:ascii="Arial" w:cs="Arial" w:eastAsia="Arial" w:hAnsi="Arial"/>
          <w:sz w:val="22"/>
          <w:szCs w:val="22"/>
        </w:rPr>
        <w:t xml:space="preserve">50 - 69: Ditangguhkan - Perbaikan signifikan diperlukan sebelum disetujui</w:t>
      </w:r>
    </w:p>
    <w:p>
      <w:pPr>
        <w:pStyle w:val="ListParagraph"/>
        <w:numPr>
          <w:ilvl w:val="0"/>
          <w:numId w:val="2"/>
        </w:numPr>
        <w:spacing w:after="40" w:before="40"/>
      </w:pPr>
      <w:r>
        <w:rPr>
          <w:rFonts w:ascii="Arial" w:cs="Arial" w:eastAsia="Arial" w:hAnsi="Arial"/>
          <w:sz w:val="22"/>
          <w:szCs w:val="22"/>
        </w:rPr>
        <w:t xml:space="preserve">Di bawah 50: Ditolak - Tidak memenuhi persyaratan minimum</w:t>
      </w:r>
    </w:p>
    <w:p>
      <w:pPr>
        <w:pStyle w:val="Heading2"/>
        <w:spacing w:after="80" w:before="200"/>
      </w:pPr>
      <w:r>
        <w:rPr>
          <w:rFonts w:ascii="Arial" w:cs="Arial" w:eastAsia="Arial" w:hAnsi="Arial"/>
          <w:b/>
          <w:bCs/>
          <w:color w:val="2E75B6"/>
          <w:sz w:val="24"/>
          <w:szCs w:val="24"/>
        </w:rPr>
        <w:t xml:space="preserve">7.6 Tahap 6: Persetujuan dan Pendaftaran AVL</w:t>
      </w:r>
    </w:p>
    <w:p>
      <w:pPr>
        <w:spacing w:after="60" w:before="60"/>
      </w:pPr>
      <w:r>
        <w:rPr>
          <w:rFonts w:ascii="Arial" w:cs="Arial" w:eastAsia="Arial" w:hAnsi="Arial"/>
          <w:sz w:val="22"/>
          <w:szCs w:val="22"/>
        </w:rPr>
        <w:t xml:space="preserve">Setelah penilaian selesai, proses persetujuan mengikuti jalur berikut:</w:t>
      </w:r>
    </w:p>
    <w:p>
      <w:pPr>
        <w:pStyle w:val="ListParagraph"/>
        <w:numPr>
          <w:ilvl w:val="0"/>
          <w:numId w:val="2"/>
        </w:numPr>
        <w:spacing w:after="40" w:before="40"/>
      </w:pPr>
      <w:r>
        <w:rPr>
          <w:rFonts w:ascii="Arial" w:cs="Arial" w:eastAsia="Arial" w:hAnsi="Arial"/>
          <w:sz w:val="22"/>
          <w:szCs w:val="22"/>
        </w:rPr>
        <w:t xml:space="preserve">Pemasok Risiko Rendah &amp; Menengah: Disetujui oleh Manajer Pengadaan</w:t>
      </w:r>
    </w:p>
    <w:p>
      <w:pPr>
        <w:pStyle w:val="ListParagraph"/>
        <w:numPr>
          <w:ilvl w:val="0"/>
          <w:numId w:val="2"/>
        </w:numPr>
        <w:spacing w:after="40" w:before="40"/>
      </w:pPr>
      <w:r>
        <w:rPr>
          <w:rFonts w:ascii="Arial" w:cs="Arial" w:eastAsia="Arial" w:hAnsi="Arial"/>
          <w:sz w:val="22"/>
          <w:szCs w:val="22"/>
        </w:rPr>
        <w:t xml:space="preserve">Pemasok Risiko Tinggi: Disetujui oleh CISO</w:t>
      </w:r>
    </w:p>
    <w:p>
      <w:pPr>
        <w:pStyle w:val="ListParagraph"/>
        <w:numPr>
          <w:ilvl w:val="0"/>
          <w:numId w:val="2"/>
        </w:numPr>
        <w:spacing w:after="40" w:before="40"/>
      </w:pPr>
      <w:r>
        <w:rPr>
          <w:rFonts w:ascii="Arial" w:cs="Arial" w:eastAsia="Arial" w:hAnsi="Arial"/>
          <w:sz w:val="22"/>
          <w:szCs w:val="22"/>
        </w:rPr>
        <w:t xml:space="preserve">Pemasok Risiko Kritis: Disetujui oleh CISO dan Direktur Utama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Setelah disetujui, pemasok didaftarkan dalam Register Pemasok (ISMS-FRM-SC-003) dengan informasi: nama pemasok, kategori risiko, layanan yang disediakan, PIC, tanggal kualifikasi, tanggal review berikutnya, dan status.</w:t>
      </w:r>
    </w:p>
    <w:p>
      <w:pPr>
        <w:pStyle w:val="Heading2"/>
        <w:spacing w:after="80" w:before="200"/>
      </w:pPr>
      <w:r>
        <w:rPr>
          <w:rFonts w:ascii="Arial" w:cs="Arial" w:eastAsia="Arial" w:hAnsi="Arial"/>
          <w:b/>
          <w:bCs/>
          <w:color w:val="2E75B6"/>
          <w:sz w:val="24"/>
          <w:szCs w:val="24"/>
        </w:rPr>
        <w:t xml:space="preserve">7.7 Tahap 7: Evaluasi Berkala</w:t>
      </w:r>
    </w:p>
    <w:p>
      <w:pPr>
        <w:spacing w:after="60" w:before="60"/>
      </w:pPr>
      <w:r>
        <w:rPr>
          <w:rFonts w:ascii="Arial" w:cs="Arial" w:eastAsia="Arial" w:hAnsi="Arial"/>
          <w:sz w:val="22"/>
          <w:szCs w:val="22"/>
        </w:rPr>
        <w:t xml:space="preserve">Evaluasi berkala dilakukan berdasarkan jadwal berikut: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KATEGORI RISIKO</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FREKUENSI EVALUASI</w:t>
            </w:r>
          </w:p>
        </w:tc>
        <w:tc>
          <w:tcPr>
            <w:tcW w:type="dxa" w:w="5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METODE EVALUASI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Kritis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bulan sekali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on-site/virtual + Formulir Evaluasi Kinerja (ISMS-FRM-SC-005) + Vendor Scoring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Tinggi</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Tahunan</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Kuesioner keamanan ulang + Formulir Evaluasi Kinerja + Vendor Scoring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Menengah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Tahunan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Formulir Evaluasi Kinerja + review dokumen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Rendah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tahun sekali</w:t>
            </w:r>
          </w:p>
        </w:tc>
        <w:tc>
          <w:tcPr>
            <w:tcW w:type="dxa" w:w="5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Konfirmasi keberlanjutan kepatuhan kebijakan</w:t>
            </w:r>
          </w:p>
        </w:tc>
      </w:tr>
    </w:tbl>
    <w:p>
      <w:pPr>
        <w:pStyle w:val="Heading1"/>
        <w:spacing w:after="120" w:before="320"/>
      </w:pPr>
      <w:r>
        <w:rPr>
          <w:rFonts w:ascii="Arial" w:cs="Arial" w:eastAsia="Arial" w:hAnsi="Arial"/>
          <w:b/>
          <w:bCs/>
          <w:color w:val="1F4E79"/>
          <w:sz w:val="28"/>
          <w:szCs w:val="28"/>
        </w:rPr>
        <w:t xml:space="preserve">8. PENANGANAN HASIL EVALUASI</w:t>
      </w:r>
    </w:p>
    <w:p>
      <w:pPr>
        <w:pStyle w:val="Heading2"/>
        <w:spacing w:after="80" w:before="200"/>
      </w:pPr>
      <w:r>
        <w:rPr>
          <w:rFonts w:ascii="Arial" w:cs="Arial" w:eastAsia="Arial" w:hAnsi="Arial"/>
          <w:b/>
          <w:bCs/>
          <w:color w:val="2E75B6"/>
          <w:sz w:val="24"/>
          <w:szCs w:val="24"/>
        </w:rPr>
        <w:t xml:space="preserve">8.1 Pemasok dengan Hasil Evaluasi Memuaskan (Skor &gt;= 70)</w:t>
      </w:r>
    </w:p>
    <w:p>
      <w:pPr>
        <w:pStyle w:val="ListParagraph"/>
        <w:numPr>
          <w:ilvl w:val="0"/>
          <w:numId w:val="2"/>
        </w:numPr>
        <w:spacing w:after="40" w:before="40"/>
      </w:pPr>
      <w:r>
        <w:rPr>
          <w:rFonts w:ascii="Arial" w:cs="Arial" w:eastAsia="Arial" w:hAnsi="Arial"/>
          <w:sz w:val="22"/>
          <w:szCs w:val="22"/>
        </w:rPr>
        <w:t xml:space="preserve">Status AVL dipertahankan atau ditingkatkan</w:t>
      </w:r>
    </w:p>
    <w:p>
      <w:pPr>
        <w:pStyle w:val="ListParagraph"/>
        <w:numPr>
          <w:ilvl w:val="0"/>
          <w:numId w:val="2"/>
        </w:numPr>
        <w:spacing w:after="40" w:before="40"/>
      </w:pPr>
      <w:r>
        <w:rPr>
          <w:rFonts w:ascii="Arial" w:cs="Arial" w:eastAsia="Arial" w:hAnsi="Arial"/>
          <w:sz w:val="22"/>
          <w:szCs w:val="22"/>
        </w:rPr>
        <w:t xml:space="preserve">Tanggal review berikutnya diperbarui</w:t>
      </w:r>
    </w:p>
    <w:p>
      <w:pPr>
        <w:pStyle w:val="ListParagraph"/>
        <w:numPr>
          <w:ilvl w:val="0"/>
          <w:numId w:val="2"/>
        </w:numPr>
        <w:spacing w:after="40" w:before="40"/>
      </w:pPr>
      <w:r>
        <w:rPr>
          <w:rFonts w:ascii="Arial" w:cs="Arial" w:eastAsia="Arial" w:hAnsi="Arial"/>
          <w:sz w:val="22"/>
          <w:szCs w:val="22"/>
        </w:rPr>
        <w:t xml:space="preserve">Dokumentasi disimpan dalam sistem manajemen dokumen ISMS</w:t>
      </w:r>
    </w:p>
    <w:p>
      <w:pPr>
        <w:pStyle w:val="Heading2"/>
        <w:spacing w:after="80" w:before="200"/>
      </w:pPr>
      <w:r>
        <w:rPr>
          <w:rFonts w:ascii="Arial" w:cs="Arial" w:eastAsia="Arial" w:hAnsi="Arial"/>
          <w:b/>
          <w:bCs/>
          <w:color w:val="2E75B6"/>
          <w:sz w:val="24"/>
          <w:szCs w:val="24"/>
        </w:rPr>
        <w:t xml:space="preserve">8.2 Pemasok dengan Hasil Evaluasi Tidak Memuaskan (Skor &lt; 70)</w:t>
      </w:r>
    </w:p>
    <w:p>
      <w:pPr>
        <w:pStyle w:val="ListParagraph"/>
        <w:numPr>
          <w:ilvl w:val="0"/>
          <w:numId w:val="3"/>
        </w:numPr>
        <w:spacing w:after="40" w:before="40"/>
      </w:pPr>
      <w:r>
        <w:rPr>
          <w:rFonts w:ascii="Arial" w:cs="Arial" w:eastAsia="Arial" w:hAnsi="Arial"/>
          <w:sz w:val="22"/>
          <w:szCs w:val="22"/>
        </w:rPr>
        <w:t xml:space="preserve">Tim Pengadaan dan Tim ISMS mendiskusikan temuan dengan pemasok</w:t>
      </w:r>
    </w:p>
    <w:p>
      <w:pPr>
        <w:pStyle w:val="ListParagraph"/>
        <w:numPr>
          <w:ilvl w:val="0"/>
          <w:numId w:val="3"/>
        </w:numPr>
        <w:spacing w:after="40" w:before="40"/>
      </w:pPr>
      <w:r>
        <w:rPr>
          <w:rFonts w:ascii="Arial" w:cs="Arial" w:eastAsia="Arial" w:hAnsi="Arial"/>
          <w:sz w:val="22"/>
          <w:szCs w:val="22"/>
        </w:rPr>
        <w:t xml:space="preserve">Rencana perbaikan (corrective action plan) disusun dan disepakati bersama pemasok</w:t>
      </w:r>
    </w:p>
    <w:p>
      <w:pPr>
        <w:pStyle w:val="ListParagraph"/>
        <w:numPr>
          <w:ilvl w:val="0"/>
          <w:numId w:val="3"/>
        </w:numPr>
        <w:spacing w:after="40" w:before="40"/>
      </w:pPr>
      <w:r>
        <w:rPr>
          <w:rFonts w:ascii="Arial" w:cs="Arial" w:eastAsia="Arial" w:hAnsi="Arial"/>
          <w:sz w:val="22"/>
          <w:szCs w:val="22"/>
        </w:rPr>
        <w:t xml:space="preserve">Batas waktu perbaikan ditetapkan (umumnya 30-90 hari)</w:t>
      </w:r>
    </w:p>
    <w:p>
      <w:pPr>
        <w:pStyle w:val="ListParagraph"/>
        <w:numPr>
          <w:ilvl w:val="0"/>
          <w:numId w:val="3"/>
        </w:numPr>
        <w:spacing w:after="40" w:before="40"/>
      </w:pPr>
      <w:r>
        <w:rPr>
          <w:rFonts w:ascii="Arial" w:cs="Arial" w:eastAsia="Arial" w:hAnsi="Arial"/>
          <w:sz w:val="22"/>
          <w:szCs w:val="22"/>
        </w:rPr>
        <w:t xml:space="preserve">Evaluasi ulang dilakukan setelah batas waktu perbaikan</w:t>
      </w:r>
    </w:p>
    <w:p>
      <w:pPr>
        <w:pStyle w:val="ListParagraph"/>
        <w:numPr>
          <w:ilvl w:val="0"/>
          <w:numId w:val="3"/>
        </w:numPr>
        <w:spacing w:after="40" w:before="40"/>
      </w:pPr>
      <w:r>
        <w:rPr>
          <w:rFonts w:ascii="Arial" w:cs="Arial" w:eastAsia="Arial" w:hAnsi="Arial"/>
          <w:sz w:val="22"/>
          <w:szCs w:val="22"/>
        </w:rPr>
        <w:t xml:space="preserve">Jika tidak ada perbaikan: status AVL ditangguhkan atau dicabut</w:t>
      </w:r>
    </w:p>
    <w:p>
      <w:pPr>
        <w:pStyle w:val="ListParagraph"/>
        <w:numPr>
          <w:ilvl w:val="0"/>
          <w:numId w:val="3"/>
        </w:numPr>
        <w:spacing w:after="40" w:before="40"/>
      </w:pPr>
      <w:r>
        <w:rPr>
          <w:rFonts w:ascii="Arial" w:cs="Arial" w:eastAsia="Arial" w:hAnsi="Arial"/>
          <w:sz w:val="22"/>
          <w:szCs w:val="22"/>
        </w:rPr>
        <w:t xml:space="preserve">Eskalasi kepada CISO untuk keputusan penghentian hubungan dengan pemasok</w:t>
      </w:r>
    </w:p>
    <w:p>
      <w:pPr>
        <w:pStyle w:val="Heading1"/>
        <w:spacing w:after="120" w:before="320"/>
      </w:pPr>
      <w:r>
        <w:rPr>
          <w:rFonts w:ascii="Arial" w:cs="Arial" w:eastAsia="Arial" w:hAnsi="Arial"/>
          <w:b/>
          <w:bCs/>
          <w:color w:val="1F4E79"/>
          <w:sz w:val="28"/>
          <w:szCs w:val="28"/>
        </w:rPr>
        <w:t xml:space="preserve">9. PENCATATAN DAN DOKUMENTASI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26"/>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DOKUMEN</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NOMOR FORMULIR</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DISIMPAN OLEH</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RETENSI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Formulir Penilaian Risiko Pemasok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ISMS-FRM-SC-001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ISMS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tahun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Kuesioner Keamanan Pemasok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ISMS-FRM-SC-002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Pengadaan</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tahun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Pemasok (AVL)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ISMS-FRM-SC-003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Pengadaan</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Selama aktif + 3 tahun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Formulir Evaluasi Kinerja</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ISMS-FRM-SC-005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Pengadaan</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tahun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Vendor Scoring Card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ISMS-FRM-SC-006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ISMS</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tahun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Laporan Audit Pemasok</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 ISMS</w:t>
            </w:r>
          </w:p>
        </w:tc>
        <w:tc>
          <w:tcPr>
            <w:tcW w:type="dxa" w:w="2026"/>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tahun</w:t>
            </w:r>
          </w:p>
        </w:tc>
      </w:tr>
    </w:tbl>
    <w:p>
      <w:pPr>
        <w:pStyle w:val="Heading1"/>
        <w:spacing w:after="120" w:before="320"/>
      </w:pPr>
      <w:r>
        <w:rPr>
          <w:rFonts w:ascii="Arial" w:cs="Arial" w:eastAsia="Arial" w:hAnsi="Arial"/>
          <w:b/>
          <w:bCs/>
          <w:color w:val="1F4E79"/>
          <w:sz w:val="28"/>
          <w:szCs w:val="28"/>
        </w:rPr>
        <w:t xml:space="preserve">10. PENGECUALIAN</w:t>
      </w:r>
    </w:p>
    <w:p>
      <w:pPr>
        <w:spacing w:after="60" w:before="60"/>
      </w:pPr>
      <w:r>
        <w:rPr>
          <w:rFonts w:ascii="Arial" w:cs="Arial" w:eastAsia="Arial" w:hAnsi="Arial"/>
          <w:sz w:val="22"/>
          <w:szCs w:val="22"/>
        </w:rPr>
        <w:t xml:space="preserve">Pengecualian terhadap prosedur ini dapat diberikan dalam kondisi berikut:</w:t>
      </w:r>
    </w:p>
    <w:p>
      <w:pPr>
        <w:pStyle w:val="ListParagraph"/>
        <w:numPr>
          <w:ilvl w:val="0"/>
          <w:numId w:val="2"/>
        </w:numPr>
        <w:spacing w:after="40" w:before="40"/>
      </w:pPr>
      <w:r>
        <w:rPr>
          <w:rFonts w:ascii="Arial" w:cs="Arial" w:eastAsia="Arial" w:hAnsi="Arial"/>
          <w:sz w:val="22"/>
          <w:szCs w:val="22"/>
        </w:rPr>
        <w:t xml:space="preserve">Keadaan darurat yang memerlukan penggunaan pemasok segera (force majeure)</w:t>
      </w:r>
    </w:p>
    <w:p>
      <w:pPr>
        <w:pStyle w:val="ListParagraph"/>
        <w:numPr>
          <w:ilvl w:val="0"/>
          <w:numId w:val="2"/>
        </w:numPr>
        <w:spacing w:after="40" w:before="40"/>
      </w:pPr>
      <w:r>
        <w:rPr>
          <w:rFonts w:ascii="Arial" w:cs="Arial" w:eastAsia="Arial" w:hAnsi="Arial"/>
          <w:sz w:val="22"/>
          <w:szCs w:val="22"/>
        </w:rPr>
        <w:t xml:space="preserve">Pemasok tunggal tanpa alternatif (sole source) untuk layanan kritis</w:t>
      </w:r>
    </w:p>
    <w:p>
      <w:pPr>
        <w:spacing w:after="60" w:before="60"/>
      </w:pPr>
      <w:r>
        <w:rPr>
          <w:rFonts w:ascii="Arial" w:cs="Arial" w:eastAsia="Arial" w:hAnsi="Arial"/>
          <w:sz w:val="22"/>
          <w:szCs w:val="22"/>
        </w:rPr>
        <w:t xml:space="preserve">Setiap pengecualian HARUS mendapatkan persetujuan tertulis dari CISO dan harus dilengkapi dengan penilaian risiko yang terdokumentasi serta rencana mitigasi. Pengecualian berlaku maksimum 90 hari dan harus ditindaklanjuti dengan proses kualifikasi penuh.</w:t>
      </w:r>
    </w:p>
    <w:p>
      <w:r>
        <w:br w:type="page"/>
      </w:r>
    </w:p>
    <w:p>
      <w:pPr>
        <w:pStyle w:val="Heading1"/>
        <w:spacing w:after="120" w:before="320"/>
      </w:pPr>
      <w:r>
        <w:rPr>
          <w:rFonts w:ascii="Arial" w:cs="Arial" w:eastAsia="Arial" w:hAnsi="Arial"/>
          <w:b/>
          <w:bCs/>
          <w:color w:val="1F4E79"/>
          <w:sz w:val="28"/>
          <w:szCs w:val="28"/>
        </w:rPr>
        <w:t xml:space="preserve">RIWAYAT PERUBAHAN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000"/>
        <w:gridCol w:w="2000"/>
        <w:gridCol w:w="1326"/>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VERSI</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TANGGAL</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DESKRIPSI</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DIUBAH OLEH</w:t>
            </w:r>
          </w:p>
        </w:tc>
        <w:tc>
          <w:tcPr>
            <w:tcW w:type="dxa" w:w="13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DISETUJUI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15/03/2026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Pembuatan dokumen awal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 ISMS</w:t>
            </w:r>
          </w:p>
        </w:tc>
        <w:tc>
          <w:tcPr>
            <w:tcW w:type="dxa" w:w="1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CISO</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spacing w:before="100"/>
    </w:pPr>
    <w:r>
      <w:rPr>
        <w:rFonts w:ascii="Arial" w:cs="Arial" w:eastAsia="Arial" w:hAnsi="Arial"/>
        <w:color w:val="595959"/>
        <w:sz w:val="16"/>
        <w:szCs w:val="16"/>
      </w:rPr>
      <w:t xml:space="preserve">Dokumen ini bersifat RAHASIA - Hak Cipta Dilindungi</w:t>
    </w:r>
    <w:r>
      <w:rPr>
        <w:rFonts w:ascii="Arial" w:cs="Arial" w:eastAsia="Arial" w:hAnsi="Arial"/>
        <w:color w:val="595959"/>
        <w:sz w:val="16"/>
        <w:szCs w:val="16"/>
      </w:rPr>
      <w:t xml:space="preserve">	Halaman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dari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00"/>
    </w:pPr>
    <w:r>
      <w:rPr>
        <w:rFonts w:ascii="Arial" w:cs="Arial" w:eastAsia="Arial" w:hAnsi="Arial"/>
        <w:b/>
        <w:bCs/>
        <w:color w:val="1F4E79"/>
        <w:sz w:val="18"/>
        <w:szCs w:val="18"/>
      </w:rPr>
      <w:t xml:space="preserve">SOP SELEKSI DAN EVALUASI PEMASOK</w:t>
    </w:r>
    <w:r>
      <w:rPr>
        <w:sz w:val="18"/>
        <w:szCs w:val="18"/>
      </w:rPr>
      <w:t xml:space="preserve">	</w:t>
    </w:r>
    <w:r>
      <w:rPr>
        <w:rFonts w:ascii="Arial" w:cs="Arial" w:eastAsia="Arial" w:hAnsi="Arial"/>
        <w:color w:val="595959"/>
        <w:sz w:val="18"/>
        <w:szCs w:val="18"/>
      </w:rPr>
      <w:t xml:space="preserve">ISMS-SOP-SC-001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2026-03-15T10:38:52.214Z</dcterms:created>
  <dcterms:modified xsi:type="dcterms:W3CDTF">2026-03-15T10:38:52.214Z</dcterms:modified>
</cp:coreProperties>
</file>

<file path=docProps/custom.xml><?xml version="1.0" encoding="utf-8"?>
<Properties xmlns="http://schemas.openxmlformats.org/officeDocument/2006/custom-properties" xmlns:vt="http://schemas.openxmlformats.org/officeDocument/2006/docPropsVTypes"/>
</file>