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bCs/>
          <w:color w:val="1F4E79"/>
          <w:sz w:val="28"/>
          <w:szCs w:val="28"/>
        </w:rPr>
        <w:t xml:space="preserve">SISTEM MANAJEMEN KEAMANAN INFORMASI</w:t>
      </w:r>
    </w:p>
    <w:p>
      <w:pPr>
        <w:spacing w:after="200" w:before="80"/>
        <w:jc w:val="center"/>
      </w:pPr>
      <w:r>
        <w:rPr>
          <w:rFonts w:ascii="Arial" w:cs="Arial" w:eastAsia="Arial" w:hAnsi="Arial"/>
          <w:color w:val="2E75B6"/>
          <w:sz w:val="24"/>
          <w:szCs w:val="24"/>
        </w:rPr>
        <w:t xml:space="preserve">ISO/IEC 27001:2022</w:t>
      </w:r>
    </w:p>
    <w:p>
      <w:pPr>
        <w:pBdr>
          <w:bottom w:val="single" w:color="2E75B6" w:sz="6"/>
        </w:pBdr>
        <w:spacing w:after="300" w:before="60"/>
      </w:pPr>
    </w:p>
    <w:p>
      <w:pPr>
        <w:jc w:val="center"/>
      </w:pPr>
      <w:r>
        <w:rPr>
          <w:rFonts w:ascii="Arial" w:cs="Arial" w:eastAsia="Arial" w:hAnsi="Arial"/>
          <w:b/>
          <w:bCs/>
          <w:color w:val="595959"/>
          <w:sz w:val="26"/>
          <w:szCs w:val="26"/>
        </w:rPr>
        <w:t xml:space="preserve">STANDAR OPERASIONAL PROSEDUR</w:t>
      </w:r>
    </w:p>
    <w:p>
      <w:pPr>
        <w:spacing w:after="100" w:before="100"/>
        <w:jc w:val="center"/>
      </w:pPr>
      <w:r>
        <w:rPr>
          <w:rFonts w:ascii="Arial" w:cs="Arial" w:eastAsia="Arial" w:hAnsi="Arial"/>
          <w:b/>
          <w:bCs/>
          <w:color w:val="1F4E79"/>
          <w:sz w:val="34"/>
          <w:szCs w:val="34"/>
        </w:rPr>
        <w:t xml:space="preserve">PENGELOLAAN KONTRAK DAN PERJANJIAN PEMASOK</w:t>
      </w:r>
    </w:p>
    <w:p>
      <w:pPr>
        <w:spacing w:after="300" w:before="50"/>
        <w:jc w:val="center"/>
      </w:pPr>
      <w:r>
        <w:rPr>
          <w:rFonts w:ascii="Arial" w:cs="Arial" w:eastAsia="Arial" w:hAnsi="Arial"/>
          <w:i/>
          <w:iCs/>
          <w:color w:val="595959"/>
          <w:sz w:val="24"/>
          <w:szCs w:val="24"/>
        </w:rPr>
        <w:t xml:space="preserve">Supplier Contract and Agreement Management Procedure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INFORMASI DOKUMEN</w:t>
            </w:r>
          </w:p>
        </w:tc>
        <w:tc>
          <w:tcPr>
            <w:tcW w:type="dxa" w:w="4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Nomor Dokumen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ISMS-SOP-SC-002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Tanggal Berlaku</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Maret 2026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Klasifikasi</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RAHASIA - INTERNAL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Pemilik Proses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Legal &amp; Tim Keamanan Informasi</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Referensi Kebijakan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ISMS-POL-SC-001 Kebijakan Keamanan Rantai Pasok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Referensi Standar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ISO/IEC 27001:2022 Annex A 5.20, 5.21, 5.23</w:t>
            </w:r>
          </w:p>
        </w:tc>
      </w:tr>
    </w:tbl>
    <w:p>
      <w:r>
        <w:br w:type="page"/>
      </w:r>
    </w:p>
    <w:p>
      <w:pPr>
        <w:pStyle w:val="Heading1"/>
        <w:spacing w:after="120" w:before="320"/>
      </w:pPr>
      <w:r>
        <w:rPr>
          <w:rFonts w:ascii="Arial" w:cs="Arial" w:eastAsia="Arial" w:hAnsi="Arial"/>
          <w:b/>
          <w:bCs/>
          <w:color w:val="1F4E79"/>
          <w:sz w:val="28"/>
          <w:szCs w:val="28"/>
        </w:rPr>
        <w:t xml:space="preserve">1. TUJUAN</w:t>
      </w:r>
    </w:p>
    <w:p>
      <w:pPr>
        <w:spacing w:after="60" w:before="60"/>
      </w:pPr>
      <w:r>
        <w:rPr>
          <w:rFonts w:ascii="Arial" w:cs="Arial" w:eastAsia="Arial" w:hAnsi="Arial"/>
          <w:sz w:val="22"/>
          <w:szCs w:val="22"/>
        </w:rPr>
        <w:t xml:space="preserve">SOP ini menetapkan prosedur standar untuk menyusun, menegosiasikan, memvalidasi, memantau, memperbarui, dan mengakhiri kontrak serta perjanjian dengan pemasok, guna memastikan bahwa seluruh persyaratan keamanan informasi terpenuhi selama siklus hidup kontrak berlangsung.</w:t>
      </w:r>
    </w:p>
    <w:p>
      <w:pPr>
        <w:pStyle w:val="Heading1"/>
        <w:spacing w:after="120" w:before="320"/>
      </w:pPr>
      <w:r>
        <w:rPr>
          <w:rFonts w:ascii="Arial" w:cs="Arial" w:eastAsia="Arial" w:hAnsi="Arial"/>
          <w:b/>
          <w:bCs/>
          <w:color w:val="1F4E79"/>
          <w:sz w:val="28"/>
          <w:szCs w:val="28"/>
        </w:rPr>
        <w:t xml:space="preserve">2. RUANG LINGKUP</w:t>
      </w:r>
    </w:p>
    <w:p>
      <w:pPr>
        <w:spacing w:after="60" w:before="60"/>
      </w:pPr>
      <w:r>
        <w:rPr>
          <w:rFonts w:ascii="Arial" w:cs="Arial" w:eastAsia="Arial" w:hAnsi="Arial"/>
          <w:sz w:val="22"/>
          <w:szCs w:val="22"/>
        </w:rPr>
        <w:t xml:space="preserve">Prosedur ini mencakup semua jenis perjanjian dengan pihak ketiga, termasuk namun tidak terbatas pada:</w:t>
      </w:r>
    </w:p>
    <w:p>
      <w:pPr>
        <w:pStyle w:val="ListParagraph"/>
        <w:numPr>
          <w:ilvl w:val="0"/>
          <w:numId w:val="2"/>
        </w:numPr>
        <w:spacing w:after="40" w:before="40"/>
      </w:pPr>
      <w:r>
        <w:rPr>
          <w:rFonts w:ascii="Arial" w:cs="Arial" w:eastAsia="Arial" w:hAnsi="Arial"/>
          <w:sz w:val="22"/>
          <w:szCs w:val="22"/>
        </w:rPr>
        <w:t xml:space="preserve">Kontrak pengadaan produk dan layanan teknologi informasi</w:t>
      </w:r>
    </w:p>
    <w:p>
      <w:pPr>
        <w:pStyle w:val="ListParagraph"/>
        <w:numPr>
          <w:ilvl w:val="0"/>
          <w:numId w:val="2"/>
        </w:numPr>
        <w:spacing w:after="40" w:before="40"/>
      </w:pPr>
      <w:r>
        <w:rPr>
          <w:rFonts w:ascii="Arial" w:cs="Arial" w:eastAsia="Arial" w:hAnsi="Arial"/>
          <w:sz w:val="22"/>
          <w:szCs w:val="22"/>
        </w:rPr>
        <w:t xml:space="preserve">Perjanjian Kerahasiaan (Non-Disclosure Agreement / NDA)</w:t>
      </w:r>
    </w:p>
    <w:p>
      <w:pPr>
        <w:pStyle w:val="ListParagraph"/>
        <w:numPr>
          <w:ilvl w:val="0"/>
          <w:numId w:val="2"/>
        </w:numPr>
        <w:spacing w:after="40" w:before="40"/>
      </w:pPr>
      <w:r>
        <w:rPr>
          <w:rFonts w:ascii="Arial" w:cs="Arial" w:eastAsia="Arial" w:hAnsi="Arial"/>
          <w:sz w:val="22"/>
          <w:szCs w:val="22"/>
        </w:rPr>
        <w:t xml:space="preserve">Perjanjian Tingkat Layanan (Service Level Agreement / SLA)</w:t>
      </w:r>
    </w:p>
    <w:p>
      <w:pPr>
        <w:pStyle w:val="ListParagraph"/>
        <w:numPr>
          <w:ilvl w:val="0"/>
          <w:numId w:val="2"/>
        </w:numPr>
        <w:spacing w:after="40" w:before="40"/>
      </w:pPr>
      <w:r>
        <w:rPr>
          <w:rFonts w:ascii="Arial" w:cs="Arial" w:eastAsia="Arial" w:hAnsi="Arial"/>
          <w:sz w:val="22"/>
          <w:szCs w:val="22"/>
        </w:rPr>
        <w:t xml:space="preserve">Perjanjian Pemrosesan Data (Data Processing Agreement / DPA)</w:t>
      </w:r>
    </w:p>
    <w:p>
      <w:pPr>
        <w:pStyle w:val="ListParagraph"/>
        <w:numPr>
          <w:ilvl w:val="0"/>
          <w:numId w:val="2"/>
        </w:numPr>
        <w:spacing w:after="40" w:before="40"/>
      </w:pPr>
      <w:r>
        <w:rPr>
          <w:rFonts w:ascii="Arial" w:cs="Arial" w:eastAsia="Arial" w:hAnsi="Arial"/>
          <w:sz w:val="22"/>
          <w:szCs w:val="22"/>
        </w:rPr>
        <w:t xml:space="preserve">Kontrak outsourcing dan managed services</w:t>
      </w:r>
    </w:p>
    <w:p>
      <w:pPr>
        <w:pStyle w:val="ListParagraph"/>
        <w:numPr>
          <w:ilvl w:val="0"/>
          <w:numId w:val="2"/>
        </w:numPr>
        <w:spacing w:after="40" w:before="40"/>
      </w:pPr>
      <w:r>
        <w:rPr>
          <w:rFonts w:ascii="Arial" w:cs="Arial" w:eastAsia="Arial" w:hAnsi="Arial"/>
          <w:sz w:val="22"/>
          <w:szCs w:val="22"/>
        </w:rPr>
        <w:t xml:space="preserve">Perjanjian lisensi perangkat lunak dan konten</w:t>
      </w:r>
    </w:p>
    <w:p>
      <w:pPr>
        <w:pStyle w:val="ListParagraph"/>
        <w:numPr>
          <w:ilvl w:val="0"/>
          <w:numId w:val="2"/>
        </w:numPr>
        <w:spacing w:after="40" w:before="40"/>
      </w:pPr>
      <w:r>
        <w:rPr>
          <w:rFonts w:ascii="Arial" w:cs="Arial" w:eastAsia="Arial" w:hAnsi="Arial"/>
          <w:sz w:val="22"/>
          <w:szCs w:val="22"/>
        </w:rPr>
        <w:t xml:space="preserve">Kontrak layanan cloud computing</w:t>
      </w:r>
    </w:p>
    <w:p>
      <w:pPr>
        <w:pStyle w:val="Heading1"/>
        <w:spacing w:after="120" w:before="320"/>
      </w:pPr>
      <w:r>
        <w:rPr>
          <w:rFonts w:ascii="Arial" w:cs="Arial" w:eastAsia="Arial" w:hAnsi="Arial"/>
          <w:b/>
          <w:bCs/>
          <w:color w:val="1F4E79"/>
          <w:sz w:val="28"/>
          <w:szCs w:val="28"/>
        </w:rPr>
        <w:t xml:space="preserve">3. REFERENSI</w:t>
      </w:r>
    </w:p>
    <w:p>
      <w:pPr>
        <w:pStyle w:val="ListParagraph"/>
        <w:numPr>
          <w:ilvl w:val="0"/>
          <w:numId w:val="2"/>
        </w:numPr>
        <w:spacing w:after="40" w:before="40"/>
      </w:pPr>
      <w:r>
        <w:rPr>
          <w:rFonts w:ascii="Arial" w:cs="Arial" w:eastAsia="Arial" w:hAnsi="Arial"/>
          <w:sz w:val="22"/>
          <w:szCs w:val="22"/>
        </w:rPr>
        <w:t xml:space="preserve">ISO/IEC 27001:2022 - Annex A 5.20 (Addressing information security within supplier agreements)</w:t>
      </w:r>
    </w:p>
    <w:p>
      <w:pPr>
        <w:pStyle w:val="ListParagraph"/>
        <w:numPr>
          <w:ilvl w:val="0"/>
          <w:numId w:val="2"/>
        </w:numPr>
        <w:spacing w:after="40" w:before="40"/>
      </w:pPr>
      <w:r>
        <w:rPr>
          <w:rFonts w:ascii="Arial" w:cs="Arial" w:eastAsia="Arial" w:hAnsi="Arial"/>
          <w:sz w:val="22"/>
          <w:szCs w:val="22"/>
        </w:rPr>
        <w:t xml:space="preserve">ISO/IEC 27001:2022 - Annex A 5.21 (Managing information security in the ICT supply chain)</w:t>
      </w:r>
    </w:p>
    <w:p>
      <w:pPr>
        <w:pStyle w:val="ListParagraph"/>
        <w:numPr>
          <w:ilvl w:val="0"/>
          <w:numId w:val="2"/>
        </w:numPr>
        <w:spacing w:after="40" w:before="40"/>
      </w:pPr>
      <w:r>
        <w:rPr>
          <w:rFonts w:ascii="Arial" w:cs="Arial" w:eastAsia="Arial" w:hAnsi="Arial"/>
          <w:sz w:val="22"/>
          <w:szCs w:val="22"/>
        </w:rPr>
        <w:t xml:space="preserve">ISO/IEC 27001:2022 - Annex A 5.23 (Information security for use of cloud services)</w:t>
      </w:r>
    </w:p>
    <w:p>
      <w:pPr>
        <w:pStyle w:val="ListParagraph"/>
        <w:numPr>
          <w:ilvl w:val="0"/>
          <w:numId w:val="2"/>
        </w:numPr>
        <w:spacing w:after="40" w:before="40"/>
      </w:pPr>
      <w:r>
        <w:rPr>
          <w:rFonts w:ascii="Arial" w:cs="Arial" w:eastAsia="Arial" w:hAnsi="Arial"/>
          <w:sz w:val="22"/>
          <w:szCs w:val="22"/>
        </w:rPr>
        <w:t xml:space="preserve">ISMS-POL-SC-001 - Kebijakan Keamanan Rantai Pasok</w:t>
      </w:r>
    </w:p>
    <w:p>
      <w:pPr>
        <w:pStyle w:val="ListParagraph"/>
        <w:numPr>
          <w:ilvl w:val="0"/>
          <w:numId w:val="2"/>
        </w:numPr>
        <w:spacing w:after="40" w:before="40"/>
      </w:pPr>
      <w:r>
        <w:rPr>
          <w:rFonts w:ascii="Arial" w:cs="Arial" w:eastAsia="Arial" w:hAnsi="Arial"/>
          <w:sz w:val="22"/>
          <w:szCs w:val="22"/>
        </w:rPr>
        <w:t xml:space="preserve">ISMS-FRM-SC-003 - Register Pemasok (Approved Vendor List)</w:t>
      </w:r>
    </w:p>
    <w:p>
      <w:pPr>
        <w:pStyle w:val="ListParagraph"/>
        <w:numPr>
          <w:ilvl w:val="0"/>
          <w:numId w:val="2"/>
        </w:numPr>
        <w:spacing w:after="40" w:before="40"/>
      </w:pPr>
      <w:r>
        <w:rPr>
          <w:rFonts w:ascii="Arial" w:cs="Arial" w:eastAsia="Arial" w:hAnsi="Arial"/>
          <w:sz w:val="22"/>
          <w:szCs w:val="22"/>
        </w:rPr>
        <w:t xml:space="preserve">Peraturan perundang-undangan terkait (UU PDP, PDPA, GDPR jika berlaku)</w:t>
      </w:r>
    </w:p>
    <w:p>
      <w:pPr>
        <w:pStyle w:val="Heading1"/>
        <w:spacing w:after="120" w:before="320"/>
      </w:pPr>
      <w:r>
        <w:rPr>
          <w:rFonts w:ascii="Arial" w:cs="Arial" w:eastAsia="Arial" w:hAnsi="Arial"/>
          <w:b/>
          <w:bCs/>
          <w:color w:val="1F4E79"/>
          <w:sz w:val="28"/>
          <w:szCs w:val="28"/>
        </w:rPr>
        <w:t xml:space="preserve">4. DEFINISI DAN SINGKATAN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ISTILAH</w:t>
            </w:r>
          </w:p>
        </w:tc>
        <w:tc>
          <w:tcPr>
            <w:tcW w:type="dxa" w:w="7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DEFINISI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NDA</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Non-Disclosure Agreement - Perjanjian kerahasiaan yang mengatur kewajiban para pihak untuk menjaga kerahasiaan informasi</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SLA</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Service Level Agreement - Perjanjian yang mendefinisikan parameter kinerja layanan yang harus dipenuhi pemasok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DPA</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Processing Agreement - Perjanjian yang mengatur pemrosesan data pribadi sesuai regulasi perlindungan data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MSA</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Master Service Agreement - Perjanjian induk yang mengatur ketentuan umum hubungan bisnis jangka panjang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Addendum Keamanan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Lampiran kontrak yang memuat ketentuan keamanan informasi secara spesifik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Right to Audit</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Hak organisasi untuk melakukan audit atau inspeksi terhadap praktik keamanan pemasok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Clause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Ketentuan dalam kontrak yang mengatur prosedur pengakhiran hubungan bisnis</w:t>
            </w:r>
          </w:p>
        </w:tc>
      </w:tr>
    </w:tbl>
    <w:p>
      <w:pPr>
        <w:pStyle w:val="Heading1"/>
        <w:spacing w:after="120" w:before="320"/>
      </w:pPr>
      <w:r>
        <w:rPr>
          <w:rFonts w:ascii="Arial" w:cs="Arial" w:eastAsia="Arial" w:hAnsi="Arial"/>
          <w:b/>
          <w:bCs/>
          <w:color w:val="1F4E79"/>
          <w:sz w:val="28"/>
          <w:szCs w:val="28"/>
        </w:rPr>
        <w:t xml:space="preserve">5. PERSYARATAN KEAMANAN DALAM KONTRAK</w:t>
      </w:r>
    </w:p>
    <w:p>
      <w:pPr>
        <w:pStyle w:val="Heading2"/>
        <w:spacing w:after="80" w:before="200"/>
      </w:pPr>
      <w:r>
        <w:rPr>
          <w:rFonts w:ascii="Arial" w:cs="Arial" w:eastAsia="Arial" w:hAnsi="Arial"/>
          <w:b/>
          <w:bCs/>
          <w:color w:val="2E75B6"/>
          <w:sz w:val="24"/>
          <w:szCs w:val="24"/>
        </w:rPr>
        <w:t xml:space="preserve">5.1 Ketentuan Wajib (Mandatory Clauses)</w:t>
      </w:r>
    </w:p>
    <w:p>
      <w:pPr>
        <w:spacing w:after="60" w:before="60"/>
      </w:pPr>
      <w:r>
        <w:rPr>
          <w:rFonts w:ascii="Arial" w:cs="Arial" w:eastAsia="Arial" w:hAnsi="Arial"/>
          <w:sz w:val="22"/>
          <w:szCs w:val="22"/>
        </w:rPr>
        <w:t xml:space="preserve">Setiap kontrak dengan pemasok yang memiliki akses ke aset informasi HARUS memuat ketentuan-ketentuan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5526"/>
      </w:tblGrid>
      <w:tr>
        <w:tc>
          <w:tcPr>
            <w:tcW w:type="dxa" w:w="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No</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KLAUSUL WAJIB</w:t>
            </w:r>
          </w:p>
        </w:tc>
        <w:tc>
          <w:tcPr>
            <w:tcW w:type="dxa" w:w="55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URAIAN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Kerahasiaan Informasi</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Kewajiban pemasok untuk menjaga kerahasiaan seluruh informasi yang diterima; larangan pengungkapan kepada pihak lain tanpa izin tertulis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Perlindungan Data Pribadi</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Kepatuhan terhadap regulasi perlindungan data yang berlaku; mekanisme pemrosesan data yang sah; hak subjek data</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Kontrol Akses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Pembatasan akses hanya kepada personel yang berwenang; penggunaan prinsip least privilege; pengelolaan kredensial akses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Pelaporan Insiden</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Kewajiban melaporkan insiden keamanan dalam 24 jam; prosedur eskalasi; koordinasi respons insiden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Hak Audit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Hak organisasi untuk melakukan audit keamanan; frekuensi dan mekanisme audit; biaya audit</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Subkontraktor</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Persyaratan keamanan yang sama berlaku untuk subkontraktor; notifikasi penggunaan subkontraktor baru; tanggung jawab pemasok atas subkontraktor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Pengembalian/Pemusnahan Data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Prosedur pengembalian atau pemusnahan data saat kontrak berakhir; tenggat waktu; bukti pemusnahan</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Keberlanjutan Layanan (BCP)</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Persyaratan BCP/DRP pemasok; target RTO/RPO; prosedur notifikasi gangguan layanan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Tanggung Jawab dan Sanksi</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Tanggung jawab pemasok atas pelanggaran keamanan; batasan dan cakupan ganti rugi; sanksi kontraktual</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Perubahan dan Notifikasi</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Kewajiban notifikasi perubahan signifikan; proses persetujuan perubahan; amandemen kontrak</w:t>
            </w:r>
          </w:p>
        </w:tc>
      </w:tr>
    </w:tbl>
    <w:p>
      <w:pPr>
        <w:pStyle w:val="Heading2"/>
        <w:spacing w:after="80" w:before="200"/>
      </w:pPr>
      <w:r>
        <w:rPr>
          <w:rFonts w:ascii="Arial" w:cs="Arial" w:eastAsia="Arial" w:hAnsi="Arial"/>
          <w:b/>
          <w:bCs/>
          <w:color w:val="2E75B6"/>
          <w:sz w:val="24"/>
          <w:szCs w:val="24"/>
        </w:rPr>
        <w:t xml:space="preserve">5.2 Ketentuan Tambahan untuk Layanan Cloud</w:t>
      </w:r>
    </w:p>
    <w:p>
      <w:pPr>
        <w:spacing w:after="60" w:before="60"/>
      </w:pPr>
      <w:r>
        <w:rPr>
          <w:rFonts w:ascii="Arial" w:cs="Arial" w:eastAsia="Arial" w:hAnsi="Arial"/>
          <w:sz w:val="22"/>
          <w:szCs w:val="22"/>
        </w:rPr>
        <w:t xml:space="preserve">Untuk kontrak layanan cloud, tambahan ketentuan berikut wajib disertakan:</w:t>
      </w:r>
    </w:p>
    <w:p>
      <w:pPr>
        <w:pStyle w:val="ListParagraph"/>
        <w:numPr>
          <w:ilvl w:val="0"/>
          <w:numId w:val="2"/>
        </w:numPr>
        <w:spacing w:after="40" w:before="40"/>
      </w:pPr>
      <w:r>
        <w:rPr>
          <w:rFonts w:ascii="Arial" w:cs="Arial" w:eastAsia="Arial" w:hAnsi="Arial"/>
          <w:sz w:val="22"/>
          <w:szCs w:val="22"/>
        </w:rPr>
        <w:t xml:space="preserve">Lokasi dan yurisdiksi penyimpanan data (data residency)</w:t>
      </w:r>
    </w:p>
    <w:p>
      <w:pPr>
        <w:pStyle w:val="ListParagraph"/>
        <w:numPr>
          <w:ilvl w:val="0"/>
          <w:numId w:val="2"/>
        </w:numPr>
        <w:spacing w:after="40" w:before="40"/>
      </w:pPr>
      <w:r>
        <w:rPr>
          <w:rFonts w:ascii="Arial" w:cs="Arial" w:eastAsia="Arial" w:hAnsi="Arial"/>
          <w:sz w:val="22"/>
          <w:szCs w:val="22"/>
        </w:rPr>
        <w:t xml:space="preserve">Mekanisme enkripsi data saat penyimpanan (at rest) dan pengiriman (in transit)</w:t>
      </w:r>
    </w:p>
    <w:p>
      <w:pPr>
        <w:pStyle w:val="ListParagraph"/>
        <w:numPr>
          <w:ilvl w:val="0"/>
          <w:numId w:val="2"/>
        </w:numPr>
        <w:spacing w:after="40" w:before="40"/>
      </w:pPr>
      <w:r>
        <w:rPr>
          <w:rFonts w:ascii="Arial" w:cs="Arial" w:eastAsia="Arial" w:hAnsi="Arial"/>
          <w:sz w:val="22"/>
          <w:szCs w:val="22"/>
        </w:rPr>
        <w:t xml:space="preserve">Persyaratan sertifikasi cloud security (ISO 27017, ISO 27018, CSA STAR)</w:t>
      </w:r>
    </w:p>
    <w:p>
      <w:pPr>
        <w:pStyle w:val="ListParagraph"/>
        <w:numPr>
          <w:ilvl w:val="0"/>
          <w:numId w:val="2"/>
        </w:numPr>
        <w:spacing w:after="40" w:before="40"/>
      </w:pPr>
      <w:r>
        <w:rPr>
          <w:rFonts w:ascii="Arial" w:cs="Arial" w:eastAsia="Arial" w:hAnsi="Arial"/>
          <w:sz w:val="22"/>
          <w:szCs w:val="22"/>
        </w:rPr>
        <w:t xml:space="preserve">Hak portabilitas dan pemindahan data (data portability)</w:t>
      </w:r>
    </w:p>
    <w:p>
      <w:pPr>
        <w:pStyle w:val="ListParagraph"/>
        <w:numPr>
          <w:ilvl w:val="0"/>
          <w:numId w:val="2"/>
        </w:numPr>
        <w:spacing w:after="40" w:before="40"/>
      </w:pPr>
      <w:r>
        <w:rPr>
          <w:rFonts w:ascii="Arial" w:cs="Arial" w:eastAsia="Arial" w:hAnsi="Arial"/>
          <w:sz w:val="22"/>
          <w:szCs w:val="22"/>
        </w:rPr>
        <w:t xml:space="preserve">Prosedur penghapusan data yang terverifikasi saat terminasi layanan</w:t>
      </w:r>
    </w:p>
    <w:p>
      <w:pPr>
        <w:pStyle w:val="ListParagraph"/>
        <w:numPr>
          <w:ilvl w:val="0"/>
          <w:numId w:val="2"/>
        </w:numPr>
        <w:spacing w:after="40" w:before="40"/>
      </w:pPr>
      <w:r>
        <w:rPr>
          <w:rFonts w:ascii="Arial" w:cs="Arial" w:eastAsia="Arial" w:hAnsi="Arial"/>
          <w:sz w:val="22"/>
          <w:szCs w:val="22"/>
        </w:rPr>
        <w:t xml:space="preserve">Transparansi insiden dan notifikasi pelanggaran data</w:t>
      </w:r>
    </w:p>
    <w:p>
      <w:pPr>
        <w:pStyle w:val="Heading1"/>
        <w:spacing w:after="120" w:before="320"/>
      </w:pPr>
      <w:r>
        <w:rPr>
          <w:rFonts w:ascii="Arial" w:cs="Arial" w:eastAsia="Arial" w:hAnsi="Arial"/>
          <w:b/>
          <w:bCs/>
          <w:color w:val="1F4E79"/>
          <w:sz w:val="28"/>
          <w:szCs w:val="28"/>
        </w:rPr>
        <w:t xml:space="preserve">6. PROSEDUR PENGELOLAAN KONTRAK</w:t>
      </w:r>
    </w:p>
    <w:p>
      <w:pPr>
        <w:pStyle w:val="Heading2"/>
        <w:spacing w:after="80" w:before="200"/>
      </w:pPr>
      <w:r>
        <w:rPr>
          <w:rFonts w:ascii="Arial" w:cs="Arial" w:eastAsia="Arial" w:hAnsi="Arial"/>
          <w:b/>
          <w:bCs/>
          <w:color w:val="2E75B6"/>
          <w:sz w:val="24"/>
          <w:szCs w:val="24"/>
        </w:rPr>
        <w:t xml:space="preserve">6.1 Tahap Penyusunan Kontrak</w:t>
      </w:r>
    </w:p>
    <w:p>
      <w:pPr>
        <w:pStyle w:val="ListParagraph"/>
        <w:numPr>
          <w:ilvl w:val="0"/>
          <w:numId w:val="3"/>
        </w:numPr>
        <w:spacing w:after="40" w:before="40"/>
      </w:pPr>
      <w:r>
        <w:rPr>
          <w:rFonts w:ascii="Arial" w:cs="Arial" w:eastAsia="Arial" w:hAnsi="Arial"/>
          <w:sz w:val="22"/>
          <w:szCs w:val="22"/>
        </w:rPr>
        <w:t xml:space="preserve">Tim Pengadaan mengidentifikasi jenis perjanjian yang diperlukan berdasarkan kategori risiko pemasok.</w:t>
      </w:r>
    </w:p>
    <w:p>
      <w:pPr>
        <w:pStyle w:val="ListParagraph"/>
        <w:numPr>
          <w:ilvl w:val="0"/>
          <w:numId w:val="3"/>
        </w:numPr>
        <w:spacing w:after="40" w:before="40"/>
      </w:pPr>
      <w:r>
        <w:rPr>
          <w:rFonts w:ascii="Arial" w:cs="Arial" w:eastAsia="Arial" w:hAnsi="Arial"/>
          <w:sz w:val="22"/>
          <w:szCs w:val="22"/>
        </w:rPr>
        <w:t xml:space="preserve">Tim Legal menyiapkan template kontrak yang sesuai (NDA, SLA, DPA, MSA, atau kombinasinya).</w:t>
      </w:r>
    </w:p>
    <w:p>
      <w:pPr>
        <w:pStyle w:val="ListParagraph"/>
        <w:numPr>
          <w:ilvl w:val="0"/>
          <w:numId w:val="3"/>
        </w:numPr>
        <w:spacing w:after="40" w:before="40"/>
      </w:pPr>
      <w:r>
        <w:rPr>
          <w:rFonts w:ascii="Arial" w:cs="Arial" w:eastAsia="Arial" w:hAnsi="Arial"/>
          <w:sz w:val="22"/>
          <w:szCs w:val="22"/>
        </w:rPr>
        <w:t xml:space="preserve">Tim Keamanan Informasi (ISMS) mereview draft kontrak untuk memastikan klausul keamanan yang memadai sesuai persyaratan ISO 27001:2022.</w:t>
      </w:r>
    </w:p>
    <w:p>
      <w:pPr>
        <w:pStyle w:val="ListParagraph"/>
        <w:numPr>
          <w:ilvl w:val="0"/>
          <w:numId w:val="3"/>
        </w:numPr>
        <w:spacing w:after="40" w:before="40"/>
      </w:pPr>
      <w:r>
        <w:rPr>
          <w:rFonts w:ascii="Arial" w:cs="Arial" w:eastAsia="Arial" w:hAnsi="Arial"/>
          <w:sz w:val="22"/>
          <w:szCs w:val="22"/>
        </w:rPr>
        <w:t xml:space="preserve">Untuk pemasok kategori risiko Kritis/Tinggi: Addendum Keamanan yang spesifik wajib dilampirkan.</w:t>
      </w:r>
    </w:p>
    <w:p>
      <w:pPr>
        <w:pStyle w:val="ListParagraph"/>
        <w:numPr>
          <w:ilvl w:val="0"/>
          <w:numId w:val="3"/>
        </w:numPr>
        <w:spacing w:after="40" w:before="40"/>
      </w:pPr>
      <w:r>
        <w:rPr>
          <w:rFonts w:ascii="Arial" w:cs="Arial" w:eastAsia="Arial" w:hAnsi="Arial"/>
          <w:sz w:val="22"/>
          <w:szCs w:val="22"/>
        </w:rPr>
        <w:t xml:space="preserve">Draft final disampaikan kepada pemasok untuk negosiasi.</w:t>
      </w:r>
    </w:p>
    <w:p>
      <w:pPr>
        <w:pStyle w:val="Heading2"/>
        <w:spacing w:after="80" w:before="200"/>
      </w:pPr>
      <w:r>
        <w:rPr>
          <w:rFonts w:ascii="Arial" w:cs="Arial" w:eastAsia="Arial" w:hAnsi="Arial"/>
          <w:b/>
          <w:bCs/>
          <w:color w:val="2E75B6"/>
          <w:sz w:val="24"/>
          <w:szCs w:val="24"/>
        </w:rPr>
        <w:t xml:space="preserve">6.2 Tahap Negosiasi</w:t>
      </w:r>
    </w:p>
    <w:p>
      <w:pPr>
        <w:pStyle w:val="ListParagraph"/>
        <w:numPr>
          <w:ilvl w:val="0"/>
          <w:numId w:val="3"/>
        </w:numPr>
        <w:spacing w:after="40" w:before="40"/>
      </w:pPr>
      <w:r>
        <w:rPr>
          <w:rFonts w:ascii="Arial" w:cs="Arial" w:eastAsia="Arial" w:hAnsi="Arial"/>
          <w:sz w:val="22"/>
          <w:szCs w:val="22"/>
        </w:rPr>
        <w:t xml:space="preserve">Negosiasi klausul keamanan harus melibatkan Tim ISMS, bukan hanya Tim Pengadaan atau Legal.</w:t>
      </w:r>
    </w:p>
    <w:p>
      <w:pPr>
        <w:pStyle w:val="ListParagraph"/>
        <w:numPr>
          <w:ilvl w:val="0"/>
          <w:numId w:val="3"/>
        </w:numPr>
        <w:spacing w:after="40" w:before="40"/>
      </w:pPr>
      <w:r>
        <w:rPr>
          <w:rFonts w:ascii="Arial" w:cs="Arial" w:eastAsia="Arial" w:hAnsi="Arial"/>
          <w:sz w:val="22"/>
          <w:szCs w:val="22"/>
        </w:rPr>
        <w:t xml:space="preserve">Setiap modifikasi terhadap ketentuan keamanan wajib mendapatkan persetujuan CISO.</w:t>
      </w:r>
    </w:p>
    <w:p>
      <w:pPr>
        <w:pStyle w:val="ListParagraph"/>
        <w:numPr>
          <w:ilvl w:val="0"/>
          <w:numId w:val="3"/>
        </w:numPr>
        <w:spacing w:after="40" w:before="40"/>
      </w:pPr>
      <w:r>
        <w:rPr>
          <w:rFonts w:ascii="Arial" w:cs="Arial" w:eastAsia="Arial" w:hAnsi="Arial"/>
          <w:sz w:val="22"/>
          <w:szCs w:val="22"/>
        </w:rPr>
        <w:t xml:space="preserve">Dokumentasikan semua negosiasi dan keputusan dalam risalah negosiasi.</w:t>
      </w:r>
    </w:p>
    <w:p>
      <w:pPr>
        <w:pStyle w:val="ListParagraph"/>
        <w:numPr>
          <w:ilvl w:val="0"/>
          <w:numId w:val="3"/>
        </w:numPr>
        <w:spacing w:after="40" w:before="40"/>
      </w:pPr>
      <w:r>
        <w:rPr>
          <w:rFonts w:ascii="Arial" w:cs="Arial" w:eastAsia="Arial" w:hAnsi="Arial"/>
          <w:sz w:val="22"/>
          <w:szCs w:val="22"/>
        </w:rPr>
        <w:t xml:space="preserve">Jika pemasok tidak mau menerima klausul keamanan yang esensial, eskalasi ke CISO dan Manajemen untuk keputusan lanjut.</w:t>
      </w:r>
    </w:p>
    <w:p>
      <w:pPr>
        <w:pStyle w:val="Heading2"/>
        <w:spacing w:after="80" w:before="200"/>
      </w:pPr>
      <w:r>
        <w:rPr>
          <w:rFonts w:ascii="Arial" w:cs="Arial" w:eastAsia="Arial" w:hAnsi="Arial"/>
          <w:b/>
          <w:bCs/>
          <w:color w:val="2E75B6"/>
          <w:sz w:val="24"/>
          <w:szCs w:val="24"/>
        </w:rPr>
        <w:t xml:space="preserve">6.3 Tahap Penandatanganan dan Registrasi</w:t>
      </w:r>
    </w:p>
    <w:p>
      <w:pPr>
        <w:pStyle w:val="ListParagraph"/>
        <w:numPr>
          <w:ilvl w:val="0"/>
          <w:numId w:val="3"/>
        </w:numPr>
        <w:spacing w:after="40" w:before="40"/>
      </w:pPr>
      <w:r>
        <w:rPr>
          <w:rFonts w:ascii="Arial" w:cs="Arial" w:eastAsia="Arial" w:hAnsi="Arial"/>
          <w:sz w:val="22"/>
          <w:szCs w:val="22"/>
        </w:rPr>
        <w:t xml:space="preserve">Kontrak final ditandatangani oleh pihak berwenang dari kedua belah pihak.</w:t>
      </w:r>
    </w:p>
    <w:p>
      <w:pPr>
        <w:pStyle w:val="ListParagraph"/>
        <w:numPr>
          <w:ilvl w:val="0"/>
          <w:numId w:val="3"/>
        </w:numPr>
        <w:spacing w:after="40" w:before="40"/>
      </w:pPr>
      <w:r>
        <w:rPr>
          <w:rFonts w:ascii="Arial" w:cs="Arial" w:eastAsia="Arial" w:hAnsi="Arial"/>
          <w:sz w:val="22"/>
          <w:szCs w:val="22"/>
        </w:rPr>
        <w:t xml:space="preserve">Salinan kontrak yang telah ditandatangani disimpan dalam sistem manajemen dokumen organisasi.</w:t>
      </w:r>
    </w:p>
    <w:p>
      <w:pPr>
        <w:pStyle w:val="ListParagraph"/>
        <w:numPr>
          <w:ilvl w:val="0"/>
          <w:numId w:val="3"/>
        </w:numPr>
        <w:spacing w:after="40" w:before="40"/>
      </w:pPr>
      <w:r>
        <w:rPr>
          <w:rFonts w:ascii="Arial" w:cs="Arial" w:eastAsia="Arial" w:hAnsi="Arial"/>
          <w:sz w:val="22"/>
          <w:szCs w:val="22"/>
        </w:rPr>
        <w:t xml:space="preserve">Tim Pengadaan memperbarui Register Pemasok (ISMS-FRM-SC-003) dengan informasi kontrak.</w:t>
      </w:r>
    </w:p>
    <w:p>
      <w:pPr>
        <w:pStyle w:val="ListParagraph"/>
        <w:numPr>
          <w:ilvl w:val="0"/>
          <w:numId w:val="3"/>
        </w:numPr>
        <w:spacing w:after="40" w:before="40"/>
      </w:pPr>
      <w:r>
        <w:rPr>
          <w:rFonts w:ascii="Arial" w:cs="Arial" w:eastAsia="Arial" w:hAnsi="Arial"/>
          <w:sz w:val="22"/>
          <w:szCs w:val="22"/>
        </w:rPr>
        <w:t xml:space="preserve">Tim ISMS memasukkan jadwal pemantauan dan review kontrak ke dalam kalender ISMS.</w:t>
      </w:r>
    </w:p>
    <w:p>
      <w:pPr>
        <w:pStyle w:val="Heading2"/>
        <w:spacing w:after="80" w:before="200"/>
      </w:pPr>
      <w:r>
        <w:rPr>
          <w:rFonts w:ascii="Arial" w:cs="Arial" w:eastAsia="Arial" w:hAnsi="Arial"/>
          <w:b/>
          <w:bCs/>
          <w:color w:val="2E75B6"/>
          <w:sz w:val="24"/>
          <w:szCs w:val="24"/>
        </w:rPr>
        <w:t xml:space="preserve">6.4 Tahap Pemantauan Kontrak Aktif</w:t>
      </w:r>
    </w:p>
    <w:p>
      <w:pPr>
        <w:spacing w:after="60" w:before="60"/>
      </w:pPr>
      <w:r>
        <w:rPr>
          <w:rFonts w:ascii="Arial" w:cs="Arial" w:eastAsia="Arial" w:hAnsi="Arial"/>
          <w:sz w:val="22"/>
          <w:szCs w:val="22"/>
        </w:rPr>
        <w:t xml:space="preserve">Selama masa berlaku kontrak, aktivitas pemantauan berikut dilakukan secara berkala: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AKTIVITAS PEMANTAUAN</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FREKUENSI</w:t>
            </w:r>
          </w:p>
        </w:tc>
        <w:tc>
          <w:tcPr>
            <w:tcW w:type="dxa" w:w="45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PENANGGUNGJAWAB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Tinjauan kinerja SLA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Bulanan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Pemilik Proses Bisnis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Verifikasi kepatuhan klausul keamanan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Kuartalan</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 ISMS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perubahan pemasok (personel, subkontraktor, lokasi)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Berkelanjutan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Pengadaan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Audit keamanan pemasok (risiko Kritis/Tinggi)</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Tahunan / 6 bulanan</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 ISMS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Verifikasi sertifikasi keamanan pemasok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Tahunan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ISMS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Review keseluruhan kontrak</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Tahunan atau sebelum perpanjangan</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 Legal + Tim ISMS</w:t>
            </w:r>
          </w:p>
        </w:tc>
      </w:tr>
    </w:tbl>
    <w:p>
      <w:pPr>
        <w:pStyle w:val="Heading2"/>
        <w:spacing w:after="80" w:before="200"/>
      </w:pPr>
      <w:r>
        <w:rPr>
          <w:rFonts w:ascii="Arial" w:cs="Arial" w:eastAsia="Arial" w:hAnsi="Arial"/>
          <w:b/>
          <w:bCs/>
          <w:color w:val="2E75B6"/>
          <w:sz w:val="24"/>
          <w:szCs w:val="24"/>
        </w:rPr>
        <w:t xml:space="preserve">6.5 Tahap Pembaruan dan Amandemen Kontrak</w:t>
      </w:r>
    </w:p>
    <w:p>
      <w:pPr>
        <w:pStyle w:val="ListParagraph"/>
        <w:numPr>
          <w:ilvl w:val="0"/>
          <w:numId w:val="3"/>
        </w:numPr>
        <w:spacing w:after="40" w:before="40"/>
      </w:pPr>
      <w:r>
        <w:rPr>
          <w:rFonts w:ascii="Arial" w:cs="Arial" w:eastAsia="Arial" w:hAnsi="Arial"/>
          <w:sz w:val="22"/>
          <w:szCs w:val="22"/>
        </w:rPr>
        <w:t xml:space="preserve">Perubahan pada kontrak dapat diinisiasi oleh organisasi atau pemasok.</w:t>
      </w:r>
    </w:p>
    <w:p>
      <w:pPr>
        <w:pStyle w:val="ListParagraph"/>
        <w:numPr>
          <w:ilvl w:val="0"/>
          <w:numId w:val="3"/>
        </w:numPr>
        <w:spacing w:after="40" w:before="40"/>
      </w:pPr>
      <w:r>
        <w:rPr>
          <w:rFonts w:ascii="Arial" w:cs="Arial" w:eastAsia="Arial" w:hAnsi="Arial"/>
          <w:sz w:val="22"/>
          <w:szCs w:val="22"/>
        </w:rPr>
        <w:t xml:space="preserve">Setiap permintaan amandemen harus disampaikan secara tertulis dengan alasan yang jelas.</w:t>
      </w:r>
    </w:p>
    <w:p>
      <w:pPr>
        <w:pStyle w:val="ListParagraph"/>
        <w:numPr>
          <w:ilvl w:val="0"/>
          <w:numId w:val="3"/>
        </w:numPr>
        <w:spacing w:after="40" w:before="40"/>
      </w:pPr>
      <w:r>
        <w:rPr>
          <w:rFonts w:ascii="Arial" w:cs="Arial" w:eastAsia="Arial" w:hAnsi="Arial"/>
          <w:sz w:val="22"/>
          <w:szCs w:val="22"/>
        </w:rPr>
        <w:t xml:space="preserve">Tim ISMS mengevaluasi dampak perubahan terhadap keamanan informasi.</w:t>
      </w:r>
    </w:p>
    <w:p>
      <w:pPr>
        <w:pStyle w:val="ListParagraph"/>
        <w:numPr>
          <w:ilvl w:val="0"/>
          <w:numId w:val="3"/>
        </w:numPr>
        <w:spacing w:after="40" w:before="40"/>
      </w:pPr>
      <w:r>
        <w:rPr>
          <w:rFonts w:ascii="Arial" w:cs="Arial" w:eastAsia="Arial" w:hAnsi="Arial"/>
          <w:sz w:val="22"/>
          <w:szCs w:val="22"/>
        </w:rPr>
        <w:t xml:space="preserve">Amandemen yang berdampak pada klausul keamanan memerlukan persetujuan CISO.</w:t>
      </w:r>
    </w:p>
    <w:p>
      <w:pPr>
        <w:pStyle w:val="ListParagraph"/>
        <w:numPr>
          <w:ilvl w:val="0"/>
          <w:numId w:val="3"/>
        </w:numPr>
        <w:spacing w:after="40" w:before="40"/>
      </w:pPr>
      <w:r>
        <w:rPr>
          <w:rFonts w:ascii="Arial" w:cs="Arial" w:eastAsia="Arial" w:hAnsi="Arial"/>
          <w:sz w:val="22"/>
          <w:szCs w:val="22"/>
        </w:rPr>
        <w:t xml:space="preserve">Amandemen yang disetujui dibuat dalam addendum kontrak yang ditandatangani kedua pihak.</w:t>
      </w:r>
    </w:p>
    <w:p>
      <w:pPr>
        <w:pStyle w:val="ListParagraph"/>
        <w:numPr>
          <w:ilvl w:val="0"/>
          <w:numId w:val="3"/>
        </w:numPr>
        <w:spacing w:after="40" w:before="40"/>
      </w:pPr>
      <w:r>
        <w:rPr>
          <w:rFonts w:ascii="Arial" w:cs="Arial" w:eastAsia="Arial" w:hAnsi="Arial"/>
          <w:sz w:val="22"/>
          <w:szCs w:val="22"/>
        </w:rPr>
        <w:t xml:space="preserve">Register Pemasok diperbarui untuk mencerminkan perubahan yang disetujui.</w:t>
      </w:r>
    </w:p>
    <w:p>
      <w:pPr>
        <w:pStyle w:val="Heading2"/>
        <w:spacing w:after="80" w:before="200"/>
      </w:pPr>
      <w:r>
        <w:rPr>
          <w:rFonts w:ascii="Arial" w:cs="Arial" w:eastAsia="Arial" w:hAnsi="Arial"/>
          <w:b/>
          <w:bCs/>
          <w:color w:val="2E75B6"/>
          <w:sz w:val="24"/>
          <w:szCs w:val="24"/>
        </w:rPr>
        <w:t xml:space="preserve">6.6 Tahap Pengakhiran Kontrak</w:t>
      </w:r>
    </w:p>
    <w:p>
      <w:pPr>
        <w:spacing w:after="60" w:before="60"/>
      </w:pPr>
      <w:r>
        <w:rPr>
          <w:rFonts w:ascii="Arial" w:cs="Arial" w:eastAsia="Arial" w:hAnsi="Arial"/>
          <w:sz w:val="22"/>
          <w:szCs w:val="22"/>
        </w:rPr>
        <w:t xml:space="preserve">Prosedur pengakhiran kontrak (termasuk pemutusan sepihak dan berakhirnya masa kontrak):</w:t>
      </w:r>
    </w:p>
    <w:p>
      <w:pPr>
        <w:pStyle w:val="ListParagraph"/>
        <w:numPr>
          <w:ilvl w:val="0"/>
          <w:numId w:val="3"/>
        </w:numPr>
        <w:spacing w:after="40" w:before="40"/>
      </w:pPr>
      <w:r>
        <w:rPr>
          <w:rFonts w:ascii="Arial" w:cs="Arial" w:eastAsia="Arial" w:hAnsi="Arial"/>
          <w:sz w:val="22"/>
          <w:szCs w:val="22"/>
        </w:rPr>
        <w:t xml:space="preserve">Notifikasi pengakhiran disampaikan sesuai batas waktu yang ditentukan dalam kontrak.</w:t>
      </w:r>
    </w:p>
    <w:p>
      <w:pPr>
        <w:pStyle w:val="ListParagraph"/>
        <w:numPr>
          <w:ilvl w:val="0"/>
          <w:numId w:val="3"/>
        </w:numPr>
        <w:spacing w:after="40" w:before="40"/>
      </w:pPr>
      <w:r>
        <w:rPr>
          <w:rFonts w:ascii="Arial" w:cs="Arial" w:eastAsia="Arial" w:hAnsi="Arial"/>
          <w:sz w:val="22"/>
          <w:szCs w:val="22"/>
        </w:rPr>
        <w:t xml:space="preserve">Tim ISMS menyiapkan checklist offboarding keamanan pemasok, meliputi:</w:t>
      </w:r>
    </w:p>
    <w:p>
      <w:pPr>
        <w:pStyle w:val="ListParagraph"/>
        <w:numPr>
          <w:ilvl w:val="0"/>
          <w:numId w:val="2"/>
        </w:numPr>
        <w:spacing w:after="40" w:before="40"/>
      </w:pPr>
      <w:r>
        <w:rPr>
          <w:rFonts w:ascii="Arial" w:cs="Arial" w:eastAsia="Arial" w:hAnsi="Arial"/>
          <w:sz w:val="22"/>
          <w:szCs w:val="22"/>
        </w:rPr>
        <w:t xml:space="preserve">Pencabutan seluruh akses fisik dan logis pemasok ke sistem dan fasilitas organisasi</w:t>
      </w:r>
    </w:p>
    <w:p>
      <w:pPr>
        <w:pStyle w:val="ListParagraph"/>
        <w:numPr>
          <w:ilvl w:val="0"/>
          <w:numId w:val="2"/>
        </w:numPr>
        <w:spacing w:after="40" w:before="40"/>
      </w:pPr>
      <w:r>
        <w:rPr>
          <w:rFonts w:ascii="Arial" w:cs="Arial" w:eastAsia="Arial" w:hAnsi="Arial"/>
          <w:sz w:val="22"/>
          <w:szCs w:val="22"/>
        </w:rPr>
        <w:t xml:space="preserve">Permintaan pengembalian atau pemusnahan seluruh data dan aset organisasi yang dipegang pemasok</w:t>
      </w:r>
    </w:p>
    <w:p>
      <w:pPr>
        <w:pStyle w:val="ListParagraph"/>
        <w:numPr>
          <w:ilvl w:val="0"/>
          <w:numId w:val="2"/>
        </w:numPr>
        <w:spacing w:after="40" w:before="40"/>
      </w:pPr>
      <w:r>
        <w:rPr>
          <w:rFonts w:ascii="Arial" w:cs="Arial" w:eastAsia="Arial" w:hAnsi="Arial"/>
          <w:sz w:val="22"/>
          <w:szCs w:val="22"/>
        </w:rPr>
        <w:t xml:space="preserve">Konfirmasi tertulis dari pemasok bahwa data telah dikembalikan/dimusnahkan</w:t>
      </w:r>
    </w:p>
    <w:p>
      <w:pPr>
        <w:pStyle w:val="ListParagraph"/>
        <w:numPr>
          <w:ilvl w:val="0"/>
          <w:numId w:val="2"/>
        </w:numPr>
        <w:spacing w:after="40" w:before="40"/>
      </w:pPr>
      <w:r>
        <w:rPr>
          <w:rFonts w:ascii="Arial" w:cs="Arial" w:eastAsia="Arial" w:hAnsi="Arial"/>
          <w:sz w:val="22"/>
          <w:szCs w:val="22"/>
        </w:rPr>
        <w:t xml:space="preserve">Revokasi sertifikat digital, token akses, dan kredensial lainnya</w:t>
      </w:r>
    </w:p>
    <w:p>
      <w:pPr>
        <w:pStyle w:val="ListParagraph"/>
        <w:numPr>
          <w:ilvl w:val="0"/>
          <w:numId w:val="2"/>
        </w:numPr>
        <w:spacing w:after="40" w:before="40"/>
      </w:pPr>
      <w:r>
        <w:rPr>
          <w:rFonts w:ascii="Arial" w:cs="Arial" w:eastAsia="Arial" w:hAnsi="Arial"/>
          <w:sz w:val="22"/>
          <w:szCs w:val="22"/>
        </w:rPr>
        <w:t xml:space="preserve">Dokumentasi proses offboarding dalam laporan pengakhiran kontrak</w:t>
      </w:r>
    </w:p>
    <w:p>
      <w:pPr>
        <w:pStyle w:val="ListParagraph"/>
        <w:numPr>
          <w:ilvl w:val="0"/>
          <w:numId w:val="3"/>
        </w:numPr>
        <w:spacing w:after="40" w:before="40"/>
      </w:pPr>
      <w:r>
        <w:rPr>
          <w:rFonts w:ascii="Arial" w:cs="Arial" w:eastAsia="Arial" w:hAnsi="Arial"/>
          <w:sz w:val="22"/>
          <w:szCs w:val="22"/>
        </w:rPr>
        <w:t xml:space="preserve">Kewajiban kerahasiaan tetap berlaku setelah kontrak berakhir sesuai ketentuan yang tertera dalam kontrak.</w:t>
      </w:r>
    </w:p>
    <w:p>
      <w:pPr>
        <w:pStyle w:val="ListParagraph"/>
        <w:numPr>
          <w:ilvl w:val="0"/>
          <w:numId w:val="3"/>
        </w:numPr>
        <w:spacing w:after="40" w:before="40"/>
      </w:pPr>
      <w:r>
        <w:rPr>
          <w:rFonts w:ascii="Arial" w:cs="Arial" w:eastAsia="Arial" w:hAnsi="Arial"/>
          <w:sz w:val="22"/>
          <w:szCs w:val="22"/>
        </w:rPr>
        <w:t xml:space="preserve">Register Pemasok diperbarui dengan mencatat tanggal dan alasan pengakhiran kontrak.</w:t>
      </w:r>
    </w:p>
    <w:p>
      <w:pPr>
        <w:pStyle w:val="Heading1"/>
        <w:spacing w:after="120" w:before="320"/>
      </w:pPr>
      <w:r>
        <w:rPr>
          <w:rFonts w:ascii="Arial" w:cs="Arial" w:eastAsia="Arial" w:hAnsi="Arial"/>
          <w:b/>
          <w:bCs/>
          <w:color w:val="1F4E79"/>
          <w:sz w:val="28"/>
          <w:szCs w:val="28"/>
        </w:rPr>
        <w:t xml:space="preserve">7. PENANGANAN PELANGGARAN KONTRAK</w:t>
      </w:r>
    </w:p>
    <w:p>
      <w:pPr>
        <w:pStyle w:val="Heading2"/>
        <w:spacing w:after="80" w:before="200"/>
      </w:pPr>
      <w:r>
        <w:rPr>
          <w:rFonts w:ascii="Arial" w:cs="Arial" w:eastAsia="Arial" w:hAnsi="Arial"/>
          <w:b/>
          <w:bCs/>
          <w:color w:val="2E75B6"/>
          <w:sz w:val="24"/>
          <w:szCs w:val="24"/>
        </w:rPr>
        <w:t xml:space="preserve">7.1 Jenis Pelanggaran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TINGKAT</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CONTOH PELANGGARAN</w:t>
            </w:r>
          </w:p>
        </w:tc>
        <w:tc>
          <w:tcPr>
            <w:tcW w:type="dxa" w:w="3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TINDAKAN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KRITIS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Kebocoran data; pelanggaran kerahasiaan; penyalahgunaan data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Suspensi akses segera; investigasi; eskalasi CISO; pertimbangan terminasi</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TINGGI</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Gagal lapor insiden; penggunaan subkontraktor tanpa izin; tidak patuh SLA</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Teguran formal; rencana perbaikan 30 hari; review kontrak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MENENGAH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Keterlambatan notifikasi; pelanggaran prosedur minor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Peringatan tertulis; rencana perbaikan; monitoring ketat</w:t>
            </w:r>
          </w:p>
        </w:tc>
      </w:tr>
    </w:tbl>
    <w:p>
      <w:pPr>
        <w:pStyle w:val="Heading2"/>
        <w:spacing w:after="80" w:before="200"/>
      </w:pPr>
      <w:r>
        <w:rPr>
          <w:rFonts w:ascii="Arial" w:cs="Arial" w:eastAsia="Arial" w:hAnsi="Arial"/>
          <w:b/>
          <w:bCs/>
          <w:color w:val="2E75B6"/>
          <w:sz w:val="24"/>
          <w:szCs w:val="24"/>
        </w:rPr>
        <w:t xml:space="preserve">7.2 Prosedur Penanganan Pelanggaran</w:t>
      </w:r>
    </w:p>
    <w:p>
      <w:pPr>
        <w:pStyle w:val="ListParagraph"/>
        <w:numPr>
          <w:ilvl w:val="0"/>
          <w:numId w:val="3"/>
        </w:numPr>
        <w:spacing w:after="40" w:before="40"/>
      </w:pPr>
      <w:r>
        <w:rPr>
          <w:rFonts w:ascii="Arial" w:cs="Arial" w:eastAsia="Arial" w:hAnsi="Arial"/>
          <w:sz w:val="22"/>
          <w:szCs w:val="22"/>
        </w:rPr>
        <w:t xml:space="preserve">Identifikasi dan dokumentasikan pelanggaran dengan bukti yang memadai.</w:t>
      </w:r>
    </w:p>
    <w:p>
      <w:pPr>
        <w:pStyle w:val="ListParagraph"/>
        <w:numPr>
          <w:ilvl w:val="0"/>
          <w:numId w:val="3"/>
        </w:numPr>
        <w:spacing w:after="40" w:before="40"/>
      </w:pPr>
      <w:r>
        <w:rPr>
          <w:rFonts w:ascii="Arial" w:cs="Arial" w:eastAsia="Arial" w:hAnsi="Arial"/>
          <w:sz w:val="22"/>
          <w:szCs w:val="22"/>
        </w:rPr>
        <w:t xml:space="preserve">Notifikasi segera kepada CISO dan Tim Legal tentang pelanggaran yang terdeteksi.</w:t>
      </w:r>
    </w:p>
    <w:p>
      <w:pPr>
        <w:pStyle w:val="ListParagraph"/>
        <w:numPr>
          <w:ilvl w:val="0"/>
          <w:numId w:val="3"/>
        </w:numPr>
        <w:spacing w:after="40" w:before="40"/>
      </w:pPr>
      <w:r>
        <w:rPr>
          <w:rFonts w:ascii="Arial" w:cs="Arial" w:eastAsia="Arial" w:hAnsi="Arial"/>
          <w:sz w:val="22"/>
          <w:szCs w:val="22"/>
        </w:rPr>
        <w:t xml:space="preserve">Diskusi dengan pemasok untuk klarifikasi dan pemahaman konteks pelanggaran.</w:t>
      </w:r>
    </w:p>
    <w:p>
      <w:pPr>
        <w:pStyle w:val="ListParagraph"/>
        <w:numPr>
          <w:ilvl w:val="0"/>
          <w:numId w:val="3"/>
        </w:numPr>
        <w:spacing w:after="40" w:before="40"/>
      </w:pPr>
      <w:r>
        <w:rPr>
          <w:rFonts w:ascii="Arial" w:cs="Arial" w:eastAsia="Arial" w:hAnsi="Arial"/>
          <w:sz w:val="22"/>
          <w:szCs w:val="22"/>
        </w:rPr>
        <w:t xml:space="preserve">Tetapkan tindakan korektif yang proporsional dengan tingkat pelanggaran.</w:t>
      </w:r>
    </w:p>
    <w:p>
      <w:pPr>
        <w:pStyle w:val="ListParagraph"/>
        <w:numPr>
          <w:ilvl w:val="0"/>
          <w:numId w:val="3"/>
        </w:numPr>
        <w:spacing w:after="40" w:before="40"/>
      </w:pPr>
      <w:r>
        <w:rPr>
          <w:rFonts w:ascii="Arial" w:cs="Arial" w:eastAsia="Arial" w:hAnsi="Arial"/>
          <w:sz w:val="22"/>
          <w:szCs w:val="22"/>
        </w:rPr>
        <w:t xml:space="preserve">Monitor implementasi tindakan korektif oleh pemasok.</w:t>
      </w:r>
    </w:p>
    <w:p>
      <w:pPr>
        <w:pStyle w:val="ListParagraph"/>
        <w:numPr>
          <w:ilvl w:val="0"/>
          <w:numId w:val="3"/>
        </w:numPr>
        <w:spacing w:after="40" w:before="40"/>
      </w:pPr>
      <w:r>
        <w:rPr>
          <w:rFonts w:ascii="Arial" w:cs="Arial" w:eastAsia="Arial" w:hAnsi="Arial"/>
          <w:sz w:val="22"/>
          <w:szCs w:val="22"/>
        </w:rPr>
        <w:t xml:space="preserve">Dokumentasikan seluruh proses penanganan pelanggaran untuk keperluan audit.</w:t>
      </w:r>
    </w:p>
    <w:p>
      <w:pPr>
        <w:pStyle w:val="Heading1"/>
        <w:spacing w:after="120" w:before="320"/>
      </w:pPr>
      <w:r>
        <w:rPr>
          <w:rFonts w:ascii="Arial" w:cs="Arial" w:eastAsia="Arial" w:hAnsi="Arial"/>
          <w:b/>
          <w:bCs/>
          <w:color w:val="1F4E79"/>
          <w:sz w:val="28"/>
          <w:szCs w:val="28"/>
        </w:rPr>
        <w:t xml:space="preserve">8. DOKUMENTASI DAN PENYIMPANAN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JENIS DOKUMEN</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LOKASI PENYIMPANAN</w:t>
            </w:r>
          </w:p>
        </w:tc>
        <w:tc>
          <w:tcPr>
            <w:tcW w:type="dxa" w:w="3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PERIODE RETENSI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Kontrak yang telah ditandatangani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manajemen dokumen (enkripsi)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Masa kontrak + 7 tahun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NDA</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Sistem manajemen dokumen (enkripsi)</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Masa berlaku + 5 tahun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Addendum dan amandemen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Bersama kontrak asal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Sama dengan kontrak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Laporan pemantauan kinerja</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Sistem manajemen dokumen</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tahun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Laporan audit pemasok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manajemen dokumen (enkripsi)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tahun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Dokumen offboarding pemasok</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Sistem manajemen dokumen</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tahun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Catatan insiden dan pelanggaran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tiket insiden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tahun</w:t>
            </w:r>
          </w:p>
        </w:tc>
      </w:tr>
    </w:tbl>
    <w:p>
      <w:pPr>
        <w:pStyle w:val="Heading1"/>
        <w:spacing w:after="120" w:before="320"/>
      </w:pPr>
      <w:r>
        <w:rPr>
          <w:rFonts w:ascii="Arial" w:cs="Arial" w:eastAsia="Arial" w:hAnsi="Arial"/>
          <w:b/>
          <w:bCs/>
          <w:color w:val="1F4E79"/>
          <w:sz w:val="28"/>
          <w:szCs w:val="28"/>
        </w:rPr>
        <w:t xml:space="preserve">9. MATRIKS OTORISASI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226"/>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JENIS KONTRAK/KEPUTUSAN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MANAJER PENGADAAN</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CISO</w:t>
            </w:r>
          </w:p>
        </w:tc>
        <w:tc>
          <w:tcPr>
            <w:tcW w:type="dxa" w:w="2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DIREKTUR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Kontrak nilai rendah, risiko rendah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Setuju &amp; Tanda Tangan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 diperlukan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 diperlukan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Kontrak risiko menengah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Rekomendasi</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Setuju</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Tidak diperlukan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Kontrak risiko tinggi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Rekomendasi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Setuju &amp; Tanda Tangan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Informasi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Kontrak risiko kritis / strategis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Rekomendasi</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Setuju &amp; Tanda Tangan</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Setuju &amp; Tanda Tangan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Terminasi kontrak (semua kategori)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Rekomendasi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Setuju</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Informasi / Setuju*</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Amandemen klausul keamanan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Tidak diperlukan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Wajib Setuju</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Risiko kritis: Setuju</w:t>
            </w:r>
          </w:p>
        </w:tc>
      </w:tr>
    </w:tbl>
    <w:p>
      <w:pPr>
        <w:spacing w:after="60" w:before="60"/>
      </w:pPr>
      <w:r>
        <w:rPr>
          <w:rFonts w:ascii="Arial" w:cs="Arial" w:eastAsia="Arial" w:hAnsi="Arial"/>
          <w:i/>
          <w:iCs/>
          <w:color w:val="595959"/>
          <w:sz w:val="22"/>
          <w:szCs w:val="22"/>
        </w:rPr>
        <w:t xml:space="preserve">* Terminasi kontrak kritis memerlukan persetujuan Direktur</w:t>
      </w:r>
    </w:p>
    <w:p>
      <w:r>
        <w:br w:type="page"/>
      </w:r>
    </w:p>
    <w:p>
      <w:pPr>
        <w:pStyle w:val="Heading1"/>
        <w:spacing w:after="120" w:before="320"/>
      </w:pPr>
      <w:r>
        <w:rPr>
          <w:rFonts w:ascii="Arial" w:cs="Arial" w:eastAsia="Arial" w:hAnsi="Arial"/>
          <w:b/>
          <w:bCs/>
          <w:color w:val="1F4E79"/>
          <w:sz w:val="28"/>
          <w:szCs w:val="28"/>
        </w:rPr>
        <w:t xml:space="preserve">RIWAYAT PERUBAHAN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000"/>
        <w:gridCol w:w="2000"/>
        <w:gridCol w:w="1326"/>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VERSI</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TANGGAL</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DESKRIPSI</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DIUBAH OLEH</w:t>
            </w:r>
          </w:p>
        </w:tc>
        <w:tc>
          <w:tcPr>
            <w:tcW w:type="dxa" w:w="13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DISETUJUI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15/03/2026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Pembuatan dokumen awal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ISMS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CISO</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026"/>
      </w:tabs>
      <w:spacing w:before="100"/>
    </w:pPr>
    <w:r>
      <w:rPr>
        <w:rFonts w:ascii="Arial" w:cs="Arial" w:eastAsia="Arial" w:hAnsi="Arial"/>
        <w:color w:val="595959"/>
        <w:sz w:val="16"/>
        <w:szCs w:val="16"/>
      </w:rPr>
      <w:t xml:space="preserve">Dokumen ini bersifat RAHASIA - Hak Cipta Dilindungi</w:t>
    </w:r>
    <w:r>
      <w:rPr>
        <w:rFonts w:ascii="Arial" w:cs="Arial" w:eastAsia="Arial" w:hAnsi="Arial"/>
        <w:color w:val="595959"/>
        <w:sz w:val="16"/>
        <w:szCs w:val="16"/>
      </w:rPr>
      <w:t xml:space="preserve">	Halaman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dari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spacing w:after="100"/>
    </w:pPr>
    <w:r>
      <w:rPr>
        <w:rFonts w:ascii="Arial" w:cs="Arial" w:eastAsia="Arial" w:hAnsi="Arial"/>
        <w:b/>
        <w:bCs/>
        <w:color w:val="1F4E79"/>
        <w:sz w:val="18"/>
        <w:szCs w:val="18"/>
      </w:rPr>
      <w:t xml:space="preserve">SOP PENGELOLAAN KONTRAK DAN PERJANJIAN PEMASOK</w:t>
    </w:r>
    <w:r>
      <w:rPr>
        <w:sz w:val="18"/>
        <w:szCs w:val="18"/>
      </w:rPr>
      <w:t xml:space="preserve">	</w:t>
    </w:r>
    <w:r>
      <w:rPr>
        <w:rFonts w:ascii="Arial" w:cs="Arial" w:eastAsia="Arial" w:hAnsi="Arial"/>
        <w:color w:val="595959"/>
        <w:sz w:val="18"/>
        <w:szCs w:val="18"/>
      </w:rPr>
      <w:t xml:space="preserve">ISMS-SOP-SC-002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2026-03-15T10:41:02.659Z</dcterms:created>
  <dcterms:modified xsi:type="dcterms:W3CDTF">2026-03-15T10:41:02.659Z</dcterms:modified>
</cp:coreProperties>
</file>

<file path=docProps/custom.xml><?xml version="1.0" encoding="utf-8"?>
<Properties xmlns="http://schemas.openxmlformats.org/officeDocument/2006/custom-properties" xmlns:vt="http://schemas.openxmlformats.org/officeDocument/2006/docPropsVTypes"/>
</file>