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55"/>
      </w:tblGrid>
      <w:tr>
        <w:tc>
          <w:tcPr>
            <w:tcW w:type="dxa" w:w="9355"/>
            <w:shd w:val="clear" w:color="auto" w:fill="1F497D"/>
          </w:tcPr>
          <w:p>
            <w:pPr>
              <w:spacing w:before="400" w:after="400"/>
              <w:jc w:val="center"/>
            </w:pPr>
            <w:r>
              <w:rPr>
                <w:b/>
                <w:color w:val="FFFFFF"/>
                <w:sz w:val="36"/>
              </w:rPr>
              <w:t>PT EQUITY LIFE INDONESIA</w:t>
            </w:r>
          </w:p>
        </w:tc>
      </w:tr>
    </w:tbl>
    <w:p/>
    <w:p>
      <w:pPr>
        <w:jc w:val="center"/>
      </w:pPr>
      <w:r>
        <w:rPr>
          <w:color w:val="2E74B5"/>
          <w:sz w:val="26"/>
        </w:rPr>
        <w:t>ISO/IEC 27001:2022</w:t>
      </w:r>
    </w:p>
    <w:p/>
    <w:p>
      <w:pPr>
        <w:jc w:val="center"/>
      </w:pPr>
      <w:r>
        <w:rPr>
          <w:b/>
          <w:color w:val="1F497D"/>
          <w:sz w:val="40"/>
        </w:rPr>
        <w:t>Kebijakan dan SOP Threat Intelligence</w:t>
      </w:r>
    </w:p>
    <w:p>
      <w:pPr>
        <w:jc w:val="center"/>
      </w:pPr>
      <w:r>
        <w:rPr>
          <w:color w:val="2E74B5"/>
          <w:sz w:val="24"/>
        </w:rPr>
        <w:t>Threat Intelligence Management Policy &amp; Procedure</w:t>
      </w:r>
    </w:p>
    <w:p/>
    <w:tbl>
      <w:tblPr>
        <w:tblStyle w:val="TableGrid"/>
        <w:tblW w:type="auto" w:w="0"/>
        <w:jc w:val="center"/>
        <w:tblLook w:firstColumn="1" w:firstRow="1" w:lastColumn="0" w:lastRow="0" w:noHBand="0" w:noVBand="1" w:val="04A0"/>
      </w:tblPr>
      <w:tblGrid>
        <w:gridCol w:w="4677"/>
        <w:gridCol w:w="4677"/>
      </w:tblGrid>
      <w:tr>
        <w:tc>
          <w:tcPr>
            <w:tcW w:type="dxa" w:w="4677"/>
            <w:shd w:val="clear" w:color="auto" w:fill="DEEAF1"/>
          </w:tcPr>
          <w:p>
            <w:r>
              <w:rPr>
                <w:b/>
                <w:color w:val="1F497D"/>
                <w:sz w:val="20"/>
              </w:rPr>
              <w:t>Nomor Dokumen</w:t>
            </w:r>
          </w:p>
        </w:tc>
        <w:tc>
          <w:tcPr>
            <w:tcW w:type="dxa" w:w="4677"/>
          </w:tcPr>
          <w:p>
            <w:r>
              <w:rPr>
                <w:sz w:val="20"/>
              </w:rPr>
              <w:t>ISMS-TI-001</w:t>
            </w:r>
          </w:p>
        </w:tc>
      </w:tr>
      <w:tr>
        <w:tc>
          <w:tcPr>
            <w:tcW w:type="dxa" w:w="4677"/>
            <w:shd w:val="clear" w:color="auto" w:fill="DEEAF1"/>
          </w:tcPr>
          <w:p>
            <w:r>
              <w:rPr>
                <w:b/>
                <w:color w:val="1F497D"/>
                <w:sz w:val="20"/>
              </w:rPr>
              <w:t>Versi</w:t>
            </w:r>
          </w:p>
        </w:tc>
        <w:tc>
          <w:tcPr>
            <w:tcW w:type="dxa" w:w="4677"/>
          </w:tcPr>
          <w:p>
            <w:r>
              <w:rPr>
                <w:sz w:val="20"/>
              </w:rPr>
              <w:t>1.0</w:t>
            </w:r>
          </w:p>
        </w:tc>
      </w:tr>
      <w:tr>
        <w:tc>
          <w:tcPr>
            <w:tcW w:type="dxa" w:w="4677"/>
            <w:shd w:val="clear" w:color="auto" w:fill="DEEAF1"/>
          </w:tcPr>
          <w:p>
            <w:r>
              <w:rPr>
                <w:b/>
                <w:color w:val="1F497D"/>
                <w:sz w:val="20"/>
              </w:rPr>
              <w:t>Tanggal Efektif</w:t>
            </w:r>
          </w:p>
        </w:tc>
        <w:tc>
          <w:tcPr>
            <w:tcW w:type="dxa" w:w="4677"/>
          </w:tcPr>
          <w:p>
            <w:r>
              <w:rPr>
                <w:sz w:val="20"/>
              </w:rPr>
              <w:t>Februari 2026</w:t>
            </w:r>
          </w:p>
        </w:tc>
      </w:tr>
      <w:tr>
        <w:tc>
          <w:tcPr>
            <w:tcW w:type="dxa" w:w="4677"/>
            <w:shd w:val="clear" w:color="auto" w:fill="DEEAF1"/>
          </w:tcPr>
          <w:p>
            <w:r>
              <w:rPr>
                <w:b/>
                <w:color w:val="1F497D"/>
                <w:sz w:val="20"/>
              </w:rPr>
              <w:t>Klasifikasi</w:t>
            </w:r>
          </w:p>
        </w:tc>
        <w:tc>
          <w:tcPr>
            <w:tcW w:type="dxa" w:w="4677"/>
          </w:tcPr>
          <w:p>
            <w:r>
              <w:rPr>
                <w:sz w:val="20"/>
              </w:rPr>
              <w:t>RAHASIA - INTERNAL</w:t>
            </w:r>
          </w:p>
        </w:tc>
      </w:tr>
    </w:tbl>
    <w:p>
      <w:r>
        <w:br w:type="page"/>
      </w:r>
    </w:p>
    <w:p>
      <w:pPr>
        <w:spacing w:before="280" w:after="120"/>
        <w:pBdr>
          <w:bottom w:val="single" w:sz="6" w:color="1F497D"/>
        </w:pBdr>
      </w:pPr>
      <w:r>
        <w:rPr>
          <w:b/>
          <w:color w:val="1F497D"/>
          <w:sz w:val="28"/>
        </w:rPr>
        <w:t>PENGENDALIAN DOKUMEN</w:t>
      </w:r>
    </w:p>
    <w:p>
      <w:pPr>
        <w:spacing w:before="200" w:after="120"/>
      </w:pPr>
      <w:r>
        <w:rPr>
          <w:b/>
          <w:color w:val="2E74B5"/>
          <w:sz w:val="24"/>
        </w:rPr>
        <w:t>Riwayat Revisi</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shd w:val="clear" w:color="auto" w:fill="1F497D"/>
          </w:tcPr>
          <w:p>
            <w:r>
              <w:rPr>
                <w:b/>
                <w:color w:val="FFFFFF"/>
                <w:sz w:val="18"/>
              </w:rPr>
              <w:t>Versi</w:t>
            </w:r>
          </w:p>
        </w:tc>
        <w:tc>
          <w:tcPr>
            <w:tcW w:type="dxa" w:w="1871"/>
            <w:shd w:val="clear" w:color="auto" w:fill="1F497D"/>
          </w:tcPr>
          <w:p>
            <w:r>
              <w:rPr>
                <w:b/>
                <w:color w:val="FFFFFF"/>
                <w:sz w:val="18"/>
              </w:rPr>
              <w:t>Tanggal</w:t>
            </w:r>
          </w:p>
        </w:tc>
        <w:tc>
          <w:tcPr>
            <w:tcW w:type="dxa" w:w="1871"/>
            <w:shd w:val="clear" w:color="auto" w:fill="1F497D"/>
          </w:tcPr>
          <w:p>
            <w:r>
              <w:rPr>
                <w:b/>
                <w:color w:val="FFFFFF"/>
                <w:sz w:val="18"/>
              </w:rPr>
              <w:t>Penyusun</w:t>
            </w:r>
          </w:p>
        </w:tc>
        <w:tc>
          <w:tcPr>
            <w:tcW w:type="dxa" w:w="1871"/>
            <w:shd w:val="clear" w:color="auto" w:fill="1F497D"/>
          </w:tcPr>
          <w:p>
            <w:r>
              <w:rPr>
                <w:b/>
                <w:color w:val="FFFFFF"/>
                <w:sz w:val="18"/>
              </w:rPr>
              <w:t>Pemeriksa</w:t>
            </w:r>
          </w:p>
        </w:tc>
        <w:tc>
          <w:tcPr>
            <w:tcW w:type="dxa" w:w="1871"/>
            <w:shd w:val="clear" w:color="auto" w:fill="1F497D"/>
          </w:tcPr>
          <w:p>
            <w:r>
              <w:rPr>
                <w:b/>
                <w:color w:val="FFFFFF"/>
                <w:sz w:val="18"/>
              </w:rPr>
              <w:t>Keterangan</w:t>
            </w:r>
          </w:p>
        </w:tc>
      </w:tr>
      <w:tr>
        <w:tc>
          <w:tcPr>
            <w:tcW w:type="dxa" w:w="1871"/>
            <w:shd w:val="clear" w:color="auto" w:fill="DEEAF1"/>
          </w:tcPr>
          <w:p>
            <w:r>
              <w:rPr>
                <w:sz w:val="18"/>
              </w:rPr>
              <w:t>1.0</w:t>
            </w:r>
          </w:p>
        </w:tc>
        <w:tc>
          <w:tcPr>
            <w:tcW w:type="dxa" w:w="1871"/>
            <w:shd w:val="clear" w:color="auto" w:fill="DEEAF1"/>
          </w:tcPr>
          <w:p>
            <w:r>
              <w:rPr>
                <w:sz w:val="18"/>
              </w:rPr>
              <w:t>Februari 2026</w:t>
            </w:r>
          </w:p>
        </w:tc>
        <w:tc>
          <w:tcPr>
            <w:tcW w:type="dxa" w:w="1871"/>
            <w:shd w:val="clear" w:color="auto" w:fill="DEEAF1"/>
          </w:tcPr>
          <w:p>
            <w:r>
              <w:rPr>
                <w:sz w:val="18"/>
              </w:rPr>
              <w:t>Tim IT Security / CISO</w:t>
            </w:r>
          </w:p>
        </w:tc>
        <w:tc>
          <w:tcPr>
            <w:tcW w:type="dxa" w:w="1871"/>
            <w:shd w:val="clear" w:color="auto" w:fill="DEEAF1"/>
          </w:tcPr>
          <w:p>
            <w:r>
              <w:rPr>
                <w:sz w:val="18"/>
              </w:rPr>
              <w:t>Kepala Departemen IT</w:t>
            </w:r>
          </w:p>
        </w:tc>
        <w:tc>
          <w:tcPr>
            <w:tcW w:type="dxa" w:w="1871"/>
            <w:shd w:val="clear" w:color="auto" w:fill="DEEAF1"/>
          </w:tcPr>
          <w:p>
            <w:r>
              <w:rPr>
                <w:sz w:val="18"/>
              </w:rPr>
              <w:t>Penerbitan Pertama</w:t>
            </w:r>
          </w:p>
        </w:tc>
      </w:tr>
    </w:tbl>
    <w:p/>
    <w:p>
      <w:pPr>
        <w:spacing w:before="200" w:after="120"/>
      </w:pPr>
      <w:r>
        <w:rPr>
          <w:b/>
          <w:color w:val="2E74B5"/>
          <w:sz w:val="24"/>
        </w:rPr>
        <w:t>Persetujuan</w:t>
      </w:r>
    </w:p>
    <w:tbl>
      <w:tblPr>
        <w:tblStyle w:val="TableGrid"/>
        <w:tblW w:type="auto" w:w="0"/>
        <w:tblLook w:firstColumn="1" w:firstRow="1" w:lastColumn="0" w:lastRow="0" w:noHBand="0" w:noVBand="1" w:val="04A0"/>
      </w:tblPr>
      <w:tblGrid>
        <w:gridCol w:w="2339"/>
        <w:gridCol w:w="2339"/>
        <w:gridCol w:w="2339"/>
        <w:gridCol w:w="2339"/>
      </w:tblGrid>
      <w:tr>
        <w:tc>
          <w:tcPr>
            <w:tcW w:type="dxa" w:w="2339"/>
            <w:shd w:val="clear" w:color="auto" w:fill="1F497D"/>
          </w:tcPr>
          <w:p>
            <w:r>
              <w:rPr>
                <w:b/>
                <w:color w:val="FFFFFF"/>
                <w:sz w:val="18"/>
              </w:rPr>
              <w:t>Peran</w:t>
            </w:r>
          </w:p>
        </w:tc>
        <w:tc>
          <w:tcPr>
            <w:tcW w:type="dxa" w:w="2339"/>
            <w:shd w:val="clear" w:color="auto" w:fill="1F497D"/>
          </w:tcPr>
          <w:p>
            <w:r>
              <w:rPr>
                <w:b/>
                <w:color w:val="FFFFFF"/>
                <w:sz w:val="18"/>
              </w:rPr>
              <w:t>Nama/Jabatan</w:t>
            </w:r>
          </w:p>
        </w:tc>
        <w:tc>
          <w:tcPr>
            <w:tcW w:type="dxa" w:w="2339"/>
            <w:shd w:val="clear" w:color="auto" w:fill="1F497D"/>
          </w:tcPr>
          <w:p>
            <w:r>
              <w:rPr>
                <w:b/>
                <w:color w:val="FFFFFF"/>
                <w:sz w:val="18"/>
              </w:rPr>
              <w:t>Tanda Tangan</w:t>
            </w:r>
          </w:p>
        </w:tc>
        <w:tc>
          <w:tcPr>
            <w:tcW w:type="dxa" w:w="2339"/>
            <w:shd w:val="clear" w:color="auto" w:fill="1F497D"/>
          </w:tcPr>
          <w:p>
            <w:r>
              <w:rPr>
                <w:b/>
                <w:color w:val="FFFFFF"/>
                <w:sz w:val="18"/>
              </w:rPr>
              <w:t>Tanggal</w:t>
            </w:r>
          </w:p>
        </w:tc>
      </w:tr>
      <w:tr>
        <w:tc>
          <w:tcPr>
            <w:tcW w:type="dxa" w:w="2339"/>
            <w:shd w:val="clear" w:color="auto" w:fill="DEEAF1"/>
          </w:tcPr>
          <w:p>
            <w:r>
              <w:rPr>
                <w:sz w:val="18"/>
              </w:rPr>
              <w:t>Penyusun</w:t>
            </w:r>
          </w:p>
        </w:tc>
        <w:tc>
          <w:tcPr>
            <w:tcW w:type="dxa" w:w="2339"/>
            <w:shd w:val="clear" w:color="auto" w:fill="DEEAF1"/>
          </w:tcPr>
          <w:p>
            <w:r>
              <w:rPr>
                <w:sz w:val="18"/>
              </w:rPr>
              <w:t>Tim IT Security / CISO</w:t>
            </w:r>
          </w:p>
        </w:tc>
        <w:tc>
          <w:tcPr>
            <w:tcW w:type="dxa" w:w="2339"/>
            <w:shd w:val="clear" w:color="auto" w:fill="DEEAF1"/>
          </w:tcPr>
          <w:p>
            <w:r>
              <w:rPr>
                <w:sz w:val="18"/>
              </w:rPr>
              <w:t>_______________</w:t>
            </w:r>
          </w:p>
        </w:tc>
        <w:tc>
          <w:tcPr>
            <w:tcW w:type="dxa" w:w="2339"/>
            <w:shd w:val="clear" w:color="auto" w:fill="DEEAF1"/>
          </w:tcPr>
          <w:p>
            <w:r>
              <w:rPr>
                <w:sz w:val="18"/>
              </w:rPr>
              <w:t>Februari 2026</w:t>
            </w:r>
          </w:p>
        </w:tc>
      </w:tr>
      <w:tr>
        <w:tc>
          <w:tcPr>
            <w:tcW w:type="dxa" w:w="2339"/>
            <w:shd w:val="clear" w:color="auto" w:fill="F2F7FB"/>
          </w:tcPr>
          <w:p>
            <w:r>
              <w:rPr>
                <w:sz w:val="18"/>
              </w:rPr>
              <w:t>Pemeriksa</w:t>
            </w:r>
          </w:p>
        </w:tc>
        <w:tc>
          <w:tcPr>
            <w:tcW w:type="dxa" w:w="2339"/>
            <w:shd w:val="clear" w:color="auto" w:fill="F2F7FB"/>
          </w:tcPr>
          <w:p>
            <w:r>
              <w:rPr>
                <w:sz w:val="18"/>
              </w:rPr>
              <w:t>Kepala Departemen IT</w:t>
            </w:r>
          </w:p>
        </w:tc>
        <w:tc>
          <w:tcPr>
            <w:tcW w:type="dxa" w:w="2339"/>
            <w:shd w:val="clear" w:color="auto" w:fill="F2F7FB"/>
          </w:tcPr>
          <w:p>
            <w:r>
              <w:rPr>
                <w:sz w:val="18"/>
              </w:rPr>
              <w:t>_______________</w:t>
            </w:r>
          </w:p>
        </w:tc>
        <w:tc>
          <w:tcPr>
            <w:tcW w:type="dxa" w:w="2339"/>
            <w:shd w:val="clear" w:color="auto" w:fill="F2F7FB"/>
          </w:tcPr>
          <w:p>
            <w:r>
              <w:rPr>
                <w:sz w:val="18"/>
              </w:rPr>
              <w:t>Februari 2026</w:t>
            </w:r>
          </w:p>
        </w:tc>
      </w:tr>
      <w:tr>
        <w:tc>
          <w:tcPr>
            <w:tcW w:type="dxa" w:w="2339"/>
            <w:shd w:val="clear" w:color="auto" w:fill="DEEAF1"/>
          </w:tcPr>
          <w:p>
            <w:r>
              <w:rPr>
                <w:sz w:val="18"/>
              </w:rPr>
              <w:t>Menyetujui</w:t>
            </w:r>
          </w:p>
        </w:tc>
        <w:tc>
          <w:tcPr>
            <w:tcW w:type="dxa" w:w="2339"/>
            <w:shd w:val="clear" w:color="auto" w:fill="DEEAF1"/>
          </w:tcPr>
          <w:p>
            <w:r>
              <w:rPr>
                <w:sz w:val="18"/>
              </w:rPr>
              <w:t>Direktur Utama</w:t>
            </w:r>
          </w:p>
        </w:tc>
        <w:tc>
          <w:tcPr>
            <w:tcW w:type="dxa" w:w="2339"/>
            <w:shd w:val="clear" w:color="auto" w:fill="DEEAF1"/>
          </w:tcPr>
          <w:p>
            <w:r>
              <w:rPr>
                <w:sz w:val="18"/>
              </w:rPr>
              <w:t>_______________</w:t>
            </w:r>
          </w:p>
        </w:tc>
        <w:tc>
          <w:tcPr>
            <w:tcW w:type="dxa" w:w="2339"/>
            <w:shd w:val="clear" w:color="auto" w:fill="DEEAF1"/>
          </w:tcPr>
          <w:p>
            <w:r>
              <w:rPr>
                <w:sz w:val="18"/>
              </w:rPr>
              <w:t>Februari 2026</w:t>
            </w:r>
          </w:p>
        </w:tc>
      </w:tr>
    </w:tbl>
    <w:p>
      <w:r>
        <w:br w:type="page"/>
      </w:r>
    </w:p>
    <w:p>
      <w:pPr>
        <w:spacing w:before="280" w:after="120"/>
        <w:pBdr>
          <w:bottom w:val="single" w:sz="6" w:color="1F497D"/>
        </w:pBdr>
      </w:pPr>
      <w:r>
        <w:rPr>
          <w:b/>
          <w:color w:val="1F497D"/>
          <w:sz w:val="28"/>
        </w:rPr>
        <w:t>BAGIAN A — KEBIJAKAN THREAT INTELLIGENCE</w:t>
      </w:r>
    </w:p>
    <w:p>
      <w:pPr>
        <w:spacing w:before="200" w:after="120"/>
      </w:pPr>
      <w:r>
        <w:rPr>
          <w:b/>
          <w:color w:val="2E74B5"/>
          <w:sz w:val="24"/>
        </w:rPr>
        <w:t>1. Pendahuluan</w:t>
      </w:r>
    </w:p>
    <w:p>
      <w:pPr>
        <w:spacing w:before="40" w:after="80"/>
      </w:pPr>
      <w:r>
        <w:rPr>
          <w:sz w:val="22"/>
        </w:rPr>
        <w:t>Sebagai perusahaan asuransi jiwa yang mengelola data pribadi jutaan nasabah, PT Equity Life Indonesia wajib memiliki kemampuan untuk mendeteksi, memahami, dan merespons ancaman siber secara proaktif. Threat Intelligence (TI) adalah proses pengumpulan, pemrosesan, analisis, dan diseminasi informasi tentang ancaman siber yang relevan, guna mendukung pengambilan keputusan keamanan informasi berbasis bukti.</w:t>
      </w:r>
    </w:p>
    <w:p>
      <w:pPr>
        <w:spacing w:before="40" w:after="80"/>
      </w:pPr>
      <w:r>
        <w:rPr>
          <w:sz w:val="22"/>
        </w:rPr>
        <w:t>Kebijakan ini ditetapkan selaras dengan kontrol ISO/IEC 27001:2022 Klausul 5.7 (Threat Intelligence) dan best practice MITRE ATT&amp;CK Framework.</w:t>
      </w:r>
    </w:p>
    <w:p>
      <w:pPr>
        <w:spacing w:before="200" w:after="120"/>
      </w:pPr>
      <w:r>
        <w:rPr>
          <w:b/>
          <w:color w:val="2E74B5"/>
          <w:sz w:val="24"/>
        </w:rPr>
        <w:t>2. Tujuan</w:t>
      </w:r>
    </w:p>
    <w:p>
      <w:pPr>
        <w:pStyle w:val="ListBullet"/>
        <w:spacing w:before="40" w:after="40"/>
        <w:ind w:left="567"/>
      </w:pPr>
      <w:r>
        <w:rPr>
          <w:sz w:val="22"/>
        </w:rPr>
        <w:t>Membangun kapabilitas threat intelligence yang terstruktur dan berkelanjutan di PT Equity Life Indonesia.</w:t>
      </w:r>
    </w:p>
    <w:p>
      <w:pPr>
        <w:pStyle w:val="ListBullet"/>
        <w:spacing w:before="40" w:after="40"/>
        <w:ind w:left="567"/>
      </w:pPr>
      <w:r>
        <w:rPr>
          <w:sz w:val="22"/>
        </w:rPr>
        <w:t>Mendukung deteksi dini dan respons proaktif terhadap ancaman siber yang menarget industri asuransi dan keuangan.</w:t>
      </w:r>
    </w:p>
    <w:p>
      <w:pPr>
        <w:pStyle w:val="ListBullet"/>
        <w:spacing w:before="40" w:after="40"/>
        <w:ind w:left="567"/>
      </w:pPr>
      <w:r>
        <w:rPr>
          <w:sz w:val="22"/>
        </w:rPr>
        <w:t>Meningkatkan kualitas keputusan keamanan informasi berdasarkan intelijen ancaman yang akurat dan tepat waktu.</w:t>
      </w:r>
    </w:p>
    <w:p>
      <w:pPr>
        <w:pStyle w:val="ListBullet"/>
        <w:spacing w:before="40" w:after="40"/>
        <w:ind w:left="567"/>
      </w:pPr>
      <w:r>
        <w:rPr>
          <w:sz w:val="22"/>
        </w:rPr>
        <w:t>Mengintegrasikan threat intelligence ke dalam proses manajemen risiko, monitoring, dan respons insiden.</w:t>
      </w:r>
    </w:p>
    <w:p>
      <w:pPr>
        <w:spacing w:before="200" w:after="120"/>
      </w:pPr>
      <w:r>
        <w:rPr>
          <w:b/>
          <w:color w:val="2E74B5"/>
          <w:sz w:val="24"/>
        </w:rPr>
        <w:t>3. Ruang Lingkup</w:t>
      </w:r>
    </w:p>
    <w:p>
      <w:pPr>
        <w:spacing w:before="40" w:after="80"/>
      </w:pPr>
      <w:r>
        <w:rPr>
          <w:sz w:val="22"/>
        </w:rPr>
        <w:t>Kebijakan ini berlaku untuk seluruh aktivitas threat intelligence yang dilakukan oleh atau atas nama PT Equity Life Indonesia, meliputi pengumpulan sumber intelijen eksternal maupun internal, analisis IoC (Indicators of Compromise), serta distribusi intelijen kepada pemangku kepentingan yang relevan.</w:t>
      </w:r>
    </w:p>
    <w:p>
      <w:pPr>
        <w:spacing w:before="200" w:after="120"/>
      </w:pPr>
      <w:r>
        <w:rPr>
          <w:b/>
          <w:color w:val="2E74B5"/>
          <w:sz w:val="24"/>
        </w:rPr>
        <w:t>4. Prinsip Threat Intelligence</w:t>
      </w:r>
    </w:p>
    <w:tbl>
      <w:tblPr>
        <w:tblStyle w:val="TableGrid"/>
        <w:tblW w:type="auto" w:w="0"/>
        <w:tblLook w:firstColumn="1" w:firstRow="1" w:lastColumn="0" w:lastRow="0" w:noHBand="0" w:noVBand="1" w:val="04A0"/>
      </w:tblPr>
      <w:tblGrid>
        <w:gridCol w:w="3118"/>
        <w:gridCol w:w="3118"/>
        <w:gridCol w:w="3118"/>
      </w:tblGrid>
      <w:tr>
        <w:tc>
          <w:tcPr>
            <w:tcW w:type="dxa" w:w="3118"/>
            <w:shd w:val="clear" w:color="auto" w:fill="1F497D"/>
          </w:tcPr>
          <w:p>
            <w:r>
              <w:rPr>
                <w:b/>
                <w:color w:val="FFFFFF"/>
                <w:sz w:val="18"/>
              </w:rPr>
              <w:t>Prinsip</w:t>
            </w:r>
          </w:p>
        </w:tc>
        <w:tc>
          <w:tcPr>
            <w:tcW w:type="dxa" w:w="3118"/>
            <w:shd w:val="clear" w:color="auto" w:fill="1F497D"/>
          </w:tcPr>
          <w:p>
            <w:r>
              <w:rPr>
                <w:b/>
                <w:color w:val="FFFFFF"/>
                <w:sz w:val="18"/>
              </w:rPr>
              <w:t>Deskripsi</w:t>
            </w:r>
          </w:p>
        </w:tc>
        <w:tc>
          <w:tcPr>
            <w:tcW w:type="dxa" w:w="3118"/>
            <w:shd w:val="clear" w:color="auto" w:fill="1F497D"/>
          </w:tcPr>
          <w:p>
            <w:r>
              <w:rPr>
                <w:b/>
                <w:color w:val="FFFFFF"/>
                <w:sz w:val="18"/>
              </w:rPr>
              <w:t>Implikasi Operasional</w:t>
            </w:r>
          </w:p>
        </w:tc>
      </w:tr>
      <w:tr>
        <w:tc>
          <w:tcPr>
            <w:tcW w:type="dxa" w:w="3118"/>
            <w:shd w:val="clear" w:color="auto" w:fill="DEEAF1"/>
          </w:tcPr>
          <w:p>
            <w:r>
              <w:rPr>
                <w:b/>
                <w:color w:val="1F497D"/>
                <w:sz w:val="18"/>
              </w:rPr>
              <w:t>Actionable</w:t>
            </w:r>
          </w:p>
        </w:tc>
        <w:tc>
          <w:tcPr>
            <w:tcW w:type="dxa" w:w="3118"/>
            <w:shd w:val="clear" w:color="auto" w:fill="DEEAF1"/>
          </w:tcPr>
          <w:p>
            <w:r>
              <w:rPr>
                <w:sz w:val="18"/>
              </w:rPr>
              <w:t>Intelijen yang dihasilkan harus dapat ditindaklanjuti secara langsung oleh tim keamanan</w:t>
            </w:r>
          </w:p>
        </w:tc>
        <w:tc>
          <w:tcPr>
            <w:tcW w:type="dxa" w:w="3118"/>
            <w:shd w:val="clear" w:color="auto" w:fill="DEEAF1"/>
          </w:tcPr>
          <w:p>
            <w:r>
              <w:rPr>
                <w:sz w:val="18"/>
              </w:rPr>
              <w:t>Setiap TI report memuat rekomendasi tindakan konkret</w:t>
            </w:r>
          </w:p>
        </w:tc>
      </w:tr>
      <w:tr>
        <w:tc>
          <w:tcPr>
            <w:tcW w:type="dxa" w:w="3118"/>
            <w:shd w:val="clear" w:color="auto" w:fill="F2F7FB"/>
          </w:tcPr>
          <w:p>
            <w:r>
              <w:rPr>
                <w:b/>
                <w:color w:val="1F497D"/>
                <w:sz w:val="18"/>
              </w:rPr>
              <w:t>Relevan</w:t>
            </w:r>
          </w:p>
        </w:tc>
        <w:tc>
          <w:tcPr>
            <w:tcW w:type="dxa" w:w="3118"/>
            <w:shd w:val="clear" w:color="auto" w:fill="F2F7FB"/>
          </w:tcPr>
          <w:p>
            <w:r>
              <w:rPr>
                <w:sz w:val="18"/>
              </w:rPr>
              <w:t>Fokus pada ancaman yang relevan dengan industri asuransi, keuangan, dan profil risiko Perusahaan</w:t>
            </w:r>
          </w:p>
        </w:tc>
        <w:tc>
          <w:tcPr>
            <w:tcW w:type="dxa" w:w="3118"/>
            <w:shd w:val="clear" w:color="auto" w:fill="F2F7FB"/>
          </w:tcPr>
          <w:p>
            <w:r>
              <w:rPr>
                <w:sz w:val="18"/>
              </w:rPr>
              <w:t>Filter threat feeds berdasarkan sektor dan teknologi yang digunakan</w:t>
            </w:r>
          </w:p>
        </w:tc>
      </w:tr>
      <w:tr>
        <w:tc>
          <w:tcPr>
            <w:tcW w:type="dxa" w:w="3118"/>
            <w:shd w:val="clear" w:color="auto" w:fill="DEEAF1"/>
          </w:tcPr>
          <w:p>
            <w:r>
              <w:rPr>
                <w:b/>
                <w:color w:val="1F497D"/>
                <w:sz w:val="18"/>
              </w:rPr>
              <w:t>Timely</w:t>
            </w:r>
          </w:p>
        </w:tc>
        <w:tc>
          <w:tcPr>
            <w:tcW w:type="dxa" w:w="3118"/>
            <w:shd w:val="clear" w:color="auto" w:fill="DEEAF1"/>
          </w:tcPr>
          <w:p>
            <w:r>
              <w:rPr>
                <w:sz w:val="18"/>
              </w:rPr>
              <w:t>Intelijen harus tersedia sebelum atau segera setelah ancaman muncul</w:t>
            </w:r>
          </w:p>
        </w:tc>
        <w:tc>
          <w:tcPr>
            <w:tcW w:type="dxa" w:w="3118"/>
            <w:shd w:val="clear" w:color="auto" w:fill="DEEAF1"/>
          </w:tcPr>
          <w:p>
            <w:r>
              <w:rPr>
                <w:sz w:val="18"/>
              </w:rPr>
              <w:t>SLA distribusi: maks 4 jam untuk ancaman kritis</w:t>
            </w:r>
          </w:p>
        </w:tc>
      </w:tr>
      <w:tr>
        <w:tc>
          <w:tcPr>
            <w:tcW w:type="dxa" w:w="3118"/>
            <w:shd w:val="clear" w:color="auto" w:fill="F2F7FB"/>
          </w:tcPr>
          <w:p>
            <w:r>
              <w:rPr>
                <w:b/>
                <w:color w:val="1F497D"/>
                <w:sz w:val="18"/>
              </w:rPr>
              <w:t>Akurat</w:t>
            </w:r>
          </w:p>
        </w:tc>
        <w:tc>
          <w:tcPr>
            <w:tcW w:type="dxa" w:w="3118"/>
            <w:shd w:val="clear" w:color="auto" w:fill="F2F7FB"/>
          </w:tcPr>
          <w:p>
            <w:r>
              <w:rPr>
                <w:sz w:val="18"/>
              </w:rPr>
              <w:t>Intelijen harus terverifikasi dan memiliki tingkat kepercayaan yang jelas</w:t>
            </w:r>
          </w:p>
        </w:tc>
        <w:tc>
          <w:tcPr>
            <w:tcW w:type="dxa" w:w="3118"/>
            <w:shd w:val="clear" w:color="auto" w:fill="F2F7FB"/>
          </w:tcPr>
          <w:p>
            <w:r>
              <w:rPr>
                <w:sz w:val="18"/>
              </w:rPr>
              <w:t>Setiap IoC harus memiliki confidence level (High/Medium/Low)</w:t>
            </w:r>
          </w:p>
        </w:tc>
      </w:tr>
      <w:tr>
        <w:tc>
          <w:tcPr>
            <w:tcW w:type="dxa" w:w="3118"/>
            <w:shd w:val="clear" w:color="auto" w:fill="DEEAF1"/>
          </w:tcPr>
          <w:p>
            <w:r>
              <w:rPr>
                <w:b/>
                <w:color w:val="1F497D"/>
                <w:sz w:val="18"/>
              </w:rPr>
              <w:t>Kolaboratif</w:t>
            </w:r>
          </w:p>
        </w:tc>
        <w:tc>
          <w:tcPr>
            <w:tcW w:type="dxa" w:w="3118"/>
            <w:shd w:val="clear" w:color="auto" w:fill="DEEAF1"/>
          </w:tcPr>
          <w:p>
            <w:r>
              <w:rPr>
                <w:sz w:val="18"/>
              </w:rPr>
              <w:t>Berbagi intelijen dengan komunitas dan regulator yang tepat</w:t>
            </w:r>
          </w:p>
        </w:tc>
        <w:tc>
          <w:tcPr>
            <w:tcW w:type="dxa" w:w="3118"/>
            <w:shd w:val="clear" w:color="auto" w:fill="DEEAF1"/>
          </w:tcPr>
          <w:p>
            <w:r>
              <w:rPr>
                <w:sz w:val="18"/>
              </w:rPr>
              <w:t>Partisipasi dalam ISAC finansial dan pelaporan ke BSSN/OJK</w:t>
            </w:r>
          </w:p>
        </w:tc>
      </w:tr>
    </w:tbl>
    <w:p/>
    <w:p>
      <w:pPr>
        <w:spacing w:before="200" w:after="120"/>
      </w:pPr>
      <w:r>
        <w:rPr>
          <w:b/>
          <w:color w:val="2E74B5"/>
          <w:sz w:val="24"/>
        </w:rPr>
        <w:t>5. Sumber Threat Intelligence</w:t>
      </w:r>
    </w:p>
    <w:tbl>
      <w:tblPr>
        <w:tblStyle w:val="TableGrid"/>
        <w:tblW w:type="auto" w:w="0"/>
        <w:tblLook w:firstColumn="1" w:firstRow="1" w:lastColumn="0" w:lastRow="0" w:noHBand="0" w:noVBand="1" w:val="04A0"/>
      </w:tblPr>
      <w:tblGrid>
        <w:gridCol w:w="2339"/>
        <w:gridCol w:w="2339"/>
        <w:gridCol w:w="2339"/>
        <w:gridCol w:w="2339"/>
      </w:tblGrid>
      <w:tr>
        <w:tc>
          <w:tcPr>
            <w:tcW w:type="dxa" w:w="2339"/>
            <w:shd w:val="clear" w:color="auto" w:fill="1F497D"/>
          </w:tcPr>
          <w:p>
            <w:r>
              <w:rPr>
                <w:b/>
                <w:color w:val="FFFFFF"/>
                <w:sz w:val="18"/>
              </w:rPr>
              <w:t>Kategori</w:t>
            </w:r>
          </w:p>
        </w:tc>
        <w:tc>
          <w:tcPr>
            <w:tcW w:type="dxa" w:w="2339"/>
            <w:shd w:val="clear" w:color="auto" w:fill="1F497D"/>
          </w:tcPr>
          <w:p>
            <w:r>
              <w:rPr>
                <w:b/>
                <w:color w:val="FFFFFF"/>
                <w:sz w:val="18"/>
              </w:rPr>
              <w:t>Sumber</w:t>
            </w:r>
          </w:p>
        </w:tc>
        <w:tc>
          <w:tcPr>
            <w:tcW w:type="dxa" w:w="2339"/>
            <w:shd w:val="clear" w:color="auto" w:fill="1F497D"/>
          </w:tcPr>
          <w:p>
            <w:r>
              <w:rPr>
                <w:b/>
                <w:color w:val="FFFFFF"/>
                <w:sz w:val="18"/>
              </w:rPr>
              <w:t>Tipe Data</w:t>
            </w:r>
          </w:p>
        </w:tc>
        <w:tc>
          <w:tcPr>
            <w:tcW w:type="dxa" w:w="2339"/>
            <w:shd w:val="clear" w:color="auto" w:fill="1F497D"/>
          </w:tcPr>
          <w:p>
            <w:r>
              <w:rPr>
                <w:b/>
                <w:color w:val="FFFFFF"/>
                <w:sz w:val="18"/>
              </w:rPr>
              <w:t>Frekuensi Update</w:t>
            </w:r>
          </w:p>
        </w:tc>
      </w:tr>
      <w:tr>
        <w:tc>
          <w:tcPr>
            <w:tcW w:type="dxa" w:w="2339"/>
            <w:shd w:val="clear" w:color="auto" w:fill="DEEAF1"/>
          </w:tcPr>
          <w:p>
            <w:r>
              <w:rPr>
                <w:sz w:val="18"/>
              </w:rPr>
              <w:t>Open Source (OSINT)</w:t>
            </w:r>
          </w:p>
        </w:tc>
        <w:tc>
          <w:tcPr>
            <w:tcW w:type="dxa" w:w="2339"/>
            <w:shd w:val="clear" w:color="auto" w:fill="DEEAF1"/>
          </w:tcPr>
          <w:p>
            <w:r>
              <w:rPr>
                <w:sz w:val="18"/>
              </w:rPr>
              <w:t>VirusTotal, Shodan, AlienVault OTX, Abuse.ch, MITRE ATT&amp;CK</w:t>
            </w:r>
          </w:p>
        </w:tc>
        <w:tc>
          <w:tcPr>
            <w:tcW w:type="dxa" w:w="2339"/>
            <w:shd w:val="clear" w:color="auto" w:fill="DEEAF1"/>
          </w:tcPr>
          <w:p>
            <w:r>
              <w:rPr>
                <w:sz w:val="18"/>
              </w:rPr>
              <w:t>IoC, CVE, TTP, Malware hash</w:t>
            </w:r>
          </w:p>
        </w:tc>
        <w:tc>
          <w:tcPr>
            <w:tcW w:type="dxa" w:w="2339"/>
            <w:shd w:val="clear" w:color="auto" w:fill="DEEAF1"/>
          </w:tcPr>
          <w:p>
            <w:r>
              <w:rPr>
                <w:sz w:val="18"/>
              </w:rPr>
              <w:t>Real-time / Harian</w:t>
            </w:r>
          </w:p>
        </w:tc>
      </w:tr>
      <w:tr>
        <w:tc>
          <w:tcPr>
            <w:tcW w:type="dxa" w:w="2339"/>
            <w:shd w:val="clear" w:color="auto" w:fill="F2F7FB"/>
          </w:tcPr>
          <w:p>
            <w:r>
              <w:rPr>
                <w:sz w:val="18"/>
              </w:rPr>
              <w:t>Commercial Feed</w:t>
            </w:r>
          </w:p>
        </w:tc>
        <w:tc>
          <w:tcPr>
            <w:tcW w:type="dxa" w:w="2339"/>
            <w:shd w:val="clear" w:color="auto" w:fill="F2F7FB"/>
          </w:tcPr>
          <w:p>
            <w:r>
              <w:rPr>
                <w:sz w:val="18"/>
              </w:rPr>
              <w:t>Recorded Future / CrowdStrike Intel / Mandiant</w:t>
            </w:r>
          </w:p>
        </w:tc>
        <w:tc>
          <w:tcPr>
            <w:tcW w:type="dxa" w:w="2339"/>
            <w:shd w:val="clear" w:color="auto" w:fill="F2F7FB"/>
          </w:tcPr>
          <w:p>
            <w:r>
              <w:rPr>
                <w:sz w:val="18"/>
              </w:rPr>
              <w:t>Threat actor profil, darkweb monitoring, zero-day</w:t>
            </w:r>
          </w:p>
        </w:tc>
        <w:tc>
          <w:tcPr>
            <w:tcW w:type="dxa" w:w="2339"/>
            <w:shd w:val="clear" w:color="auto" w:fill="F2F7FB"/>
          </w:tcPr>
          <w:p>
            <w:r>
              <w:rPr>
                <w:sz w:val="18"/>
              </w:rPr>
              <w:t>Real-time / Harian</w:t>
            </w:r>
          </w:p>
        </w:tc>
      </w:tr>
      <w:tr>
        <w:tc>
          <w:tcPr>
            <w:tcW w:type="dxa" w:w="2339"/>
            <w:shd w:val="clear" w:color="auto" w:fill="DEEAF1"/>
          </w:tcPr>
          <w:p>
            <w:r>
              <w:rPr>
                <w:sz w:val="18"/>
              </w:rPr>
              <w:t>Government / Regulasi</w:t>
            </w:r>
          </w:p>
        </w:tc>
        <w:tc>
          <w:tcPr>
            <w:tcW w:type="dxa" w:w="2339"/>
            <w:shd w:val="clear" w:color="auto" w:fill="DEEAF1"/>
          </w:tcPr>
          <w:p>
            <w:r>
              <w:rPr>
                <w:sz w:val="18"/>
              </w:rPr>
              <w:t>BSSN (Badan Siber dan Sandi Negara), ID-CERT, OJK SIBER</w:t>
            </w:r>
          </w:p>
        </w:tc>
        <w:tc>
          <w:tcPr>
            <w:tcW w:type="dxa" w:w="2339"/>
            <w:shd w:val="clear" w:color="auto" w:fill="DEEAF1"/>
          </w:tcPr>
          <w:p>
            <w:r>
              <w:rPr>
                <w:sz w:val="18"/>
              </w:rPr>
              <w:t>Advisory, peringatan sektor keuangan</w:t>
            </w:r>
          </w:p>
        </w:tc>
        <w:tc>
          <w:tcPr>
            <w:tcW w:type="dxa" w:w="2339"/>
            <w:shd w:val="clear" w:color="auto" w:fill="DEEAF1"/>
          </w:tcPr>
          <w:p>
            <w:r>
              <w:rPr>
                <w:sz w:val="18"/>
              </w:rPr>
              <w:t>Ad-hoc / Mingguan</w:t>
            </w:r>
          </w:p>
        </w:tc>
      </w:tr>
      <w:tr>
        <w:tc>
          <w:tcPr>
            <w:tcW w:type="dxa" w:w="2339"/>
            <w:shd w:val="clear" w:color="auto" w:fill="F2F7FB"/>
          </w:tcPr>
          <w:p>
            <w:r>
              <w:rPr>
                <w:sz w:val="18"/>
              </w:rPr>
              <w:t>Industri / ISAC</w:t>
            </w:r>
          </w:p>
        </w:tc>
        <w:tc>
          <w:tcPr>
            <w:tcW w:type="dxa" w:w="2339"/>
            <w:shd w:val="clear" w:color="auto" w:fill="F2F7FB"/>
          </w:tcPr>
          <w:p>
            <w:r>
              <w:rPr>
                <w:sz w:val="18"/>
              </w:rPr>
              <w:t>FS-ISAC (Financial Services ISAC), APAC ISAC</w:t>
            </w:r>
          </w:p>
        </w:tc>
        <w:tc>
          <w:tcPr>
            <w:tcW w:type="dxa" w:w="2339"/>
            <w:shd w:val="clear" w:color="auto" w:fill="F2F7FB"/>
          </w:tcPr>
          <w:p>
            <w:r>
              <w:rPr>
                <w:sz w:val="18"/>
              </w:rPr>
              <w:t>TTP finansial, malware banker, fraud pattern</w:t>
            </w:r>
          </w:p>
        </w:tc>
        <w:tc>
          <w:tcPr>
            <w:tcW w:type="dxa" w:w="2339"/>
            <w:shd w:val="clear" w:color="auto" w:fill="F2F7FB"/>
          </w:tcPr>
          <w:p>
            <w:r>
              <w:rPr>
                <w:sz w:val="18"/>
              </w:rPr>
              <w:t>Ad-hoc / Mingguan</w:t>
            </w:r>
          </w:p>
        </w:tc>
      </w:tr>
      <w:tr>
        <w:tc>
          <w:tcPr>
            <w:tcW w:type="dxa" w:w="2339"/>
            <w:shd w:val="clear" w:color="auto" w:fill="DEEAF1"/>
          </w:tcPr>
          <w:p>
            <w:r>
              <w:rPr>
                <w:sz w:val="18"/>
              </w:rPr>
              <w:t>Internal</w:t>
            </w:r>
          </w:p>
        </w:tc>
        <w:tc>
          <w:tcPr>
            <w:tcW w:type="dxa" w:w="2339"/>
            <w:shd w:val="clear" w:color="auto" w:fill="DEEAF1"/>
          </w:tcPr>
          <w:p>
            <w:r>
              <w:rPr>
                <w:sz w:val="18"/>
              </w:rPr>
              <w:t>SIEM alerts, Honeypot, IDS/IPS, EDR, Web Proxy logs</w:t>
            </w:r>
          </w:p>
        </w:tc>
        <w:tc>
          <w:tcPr>
            <w:tcW w:type="dxa" w:w="2339"/>
            <w:shd w:val="clear" w:color="auto" w:fill="DEEAF1"/>
          </w:tcPr>
          <w:p>
            <w:r>
              <w:rPr>
                <w:sz w:val="18"/>
              </w:rPr>
              <w:t>IoC internal, anomali jaringan, insiden historis</w:t>
            </w:r>
          </w:p>
        </w:tc>
        <w:tc>
          <w:tcPr>
            <w:tcW w:type="dxa" w:w="2339"/>
            <w:shd w:val="clear" w:color="auto" w:fill="DEEAF1"/>
          </w:tcPr>
          <w:p>
            <w:r>
              <w:rPr>
                <w:sz w:val="18"/>
              </w:rPr>
              <w:t>Real-time</w:t>
            </w:r>
          </w:p>
        </w:tc>
      </w:tr>
      <w:tr>
        <w:tc>
          <w:tcPr>
            <w:tcW w:type="dxa" w:w="2339"/>
            <w:shd w:val="clear" w:color="auto" w:fill="F2F7FB"/>
          </w:tcPr>
          <w:p>
            <w:r>
              <w:rPr>
                <w:sz w:val="18"/>
              </w:rPr>
              <w:t>Dark Web Monitoring</w:t>
            </w:r>
          </w:p>
        </w:tc>
        <w:tc>
          <w:tcPr>
            <w:tcW w:type="dxa" w:w="2339"/>
            <w:shd w:val="clear" w:color="auto" w:fill="F2F7FB"/>
          </w:tcPr>
          <w:p>
            <w:r>
              <w:rPr>
                <w:sz w:val="18"/>
              </w:rPr>
              <w:t>Layanan monitoring dark web (via vendor)</w:t>
            </w:r>
          </w:p>
        </w:tc>
        <w:tc>
          <w:tcPr>
            <w:tcW w:type="dxa" w:w="2339"/>
            <w:shd w:val="clear" w:color="auto" w:fill="F2F7FB"/>
          </w:tcPr>
          <w:p>
            <w:r>
              <w:rPr>
                <w:sz w:val="18"/>
              </w:rPr>
              <w:t>Credential leak, data breach mention, planning attack</w:t>
            </w:r>
          </w:p>
        </w:tc>
        <w:tc>
          <w:tcPr>
            <w:tcW w:type="dxa" w:w="2339"/>
            <w:shd w:val="clear" w:color="auto" w:fill="F2F7FB"/>
          </w:tcPr>
          <w:p>
            <w:r>
              <w:rPr>
                <w:sz w:val="18"/>
              </w:rPr>
              <w:t>Harian / Ad-hoc</w:t>
            </w:r>
          </w:p>
        </w:tc>
      </w:tr>
    </w:tbl>
    <w:p/>
    <w:p>
      <w:pPr>
        <w:spacing w:before="200" w:after="120"/>
      </w:pPr>
      <w:r>
        <w:rPr>
          <w:b/>
          <w:color w:val="2E74B5"/>
          <w:sz w:val="24"/>
        </w:rPr>
        <w:t>6. Klasifikasi dan Tipe Threat Intelligence</w:t>
      </w:r>
    </w:p>
    <w:tbl>
      <w:tblPr>
        <w:tblStyle w:val="TableGrid"/>
        <w:tblW w:type="auto" w:w="0"/>
        <w:tblLook w:firstColumn="1" w:firstRow="1" w:lastColumn="0" w:lastRow="0" w:noHBand="0" w:noVBand="1" w:val="04A0"/>
      </w:tblPr>
      <w:tblGrid>
        <w:gridCol w:w="3118"/>
        <w:gridCol w:w="3118"/>
        <w:gridCol w:w="3118"/>
      </w:tblGrid>
      <w:tr>
        <w:tc>
          <w:tcPr>
            <w:tcW w:type="dxa" w:w="3118"/>
            <w:shd w:val="clear" w:color="auto" w:fill="1F497D"/>
          </w:tcPr>
          <w:p>
            <w:r>
              <w:rPr>
                <w:b/>
                <w:color w:val="FFFFFF"/>
                <w:sz w:val="18"/>
              </w:rPr>
              <w:t>Tipe TI</w:t>
            </w:r>
          </w:p>
        </w:tc>
        <w:tc>
          <w:tcPr>
            <w:tcW w:type="dxa" w:w="3118"/>
            <w:shd w:val="clear" w:color="auto" w:fill="1F497D"/>
          </w:tcPr>
          <w:p>
            <w:r>
              <w:rPr>
                <w:b/>
                <w:color w:val="FFFFFF"/>
                <w:sz w:val="18"/>
              </w:rPr>
              <w:t>Deskripsi</w:t>
            </w:r>
          </w:p>
        </w:tc>
        <w:tc>
          <w:tcPr>
            <w:tcW w:type="dxa" w:w="3118"/>
            <w:shd w:val="clear" w:color="auto" w:fill="1F497D"/>
          </w:tcPr>
          <w:p>
            <w:r>
              <w:rPr>
                <w:b/>
                <w:color w:val="FFFFFF"/>
                <w:sz w:val="18"/>
              </w:rPr>
              <w:t>Target Pengguna</w:t>
            </w:r>
          </w:p>
        </w:tc>
      </w:tr>
      <w:tr>
        <w:tc>
          <w:tcPr>
            <w:tcW w:type="dxa" w:w="3118"/>
            <w:shd w:val="clear" w:color="auto" w:fill="DEEAF1"/>
          </w:tcPr>
          <w:p>
            <w:r>
              <w:rPr>
                <w:b/>
                <w:color w:val="1F497D"/>
                <w:sz w:val="18"/>
              </w:rPr>
              <w:t>Strategic TI</w:t>
            </w:r>
          </w:p>
        </w:tc>
        <w:tc>
          <w:tcPr>
            <w:tcW w:type="dxa" w:w="3118"/>
            <w:shd w:val="clear" w:color="auto" w:fill="DEEAF1"/>
          </w:tcPr>
          <w:p>
            <w:r>
              <w:rPr>
                <w:sz w:val="18"/>
              </w:rPr>
              <w:t>Gambaran umum lanskap ancaman, tren ancaman jangka panjang, motivasi threat actor, dampak bisnis</w:t>
            </w:r>
          </w:p>
        </w:tc>
        <w:tc>
          <w:tcPr>
            <w:tcW w:type="dxa" w:w="3118"/>
            <w:shd w:val="clear" w:color="auto" w:fill="DEEAF1"/>
          </w:tcPr>
          <w:p>
            <w:r>
              <w:rPr>
                <w:sz w:val="18"/>
              </w:rPr>
              <w:t>Manajemen, CISO, Risk Officer</w:t>
            </w:r>
          </w:p>
        </w:tc>
      </w:tr>
      <w:tr>
        <w:tc>
          <w:tcPr>
            <w:tcW w:type="dxa" w:w="3118"/>
            <w:shd w:val="clear" w:color="auto" w:fill="F2F7FB"/>
          </w:tcPr>
          <w:p>
            <w:r>
              <w:rPr>
                <w:b/>
                <w:color w:val="1F497D"/>
                <w:sz w:val="18"/>
              </w:rPr>
              <w:t>Tactical TI</w:t>
            </w:r>
          </w:p>
        </w:tc>
        <w:tc>
          <w:tcPr>
            <w:tcW w:type="dxa" w:w="3118"/>
            <w:shd w:val="clear" w:color="auto" w:fill="F2F7FB"/>
          </w:tcPr>
          <w:p>
            <w:r>
              <w:rPr>
                <w:sz w:val="18"/>
              </w:rPr>
              <w:t>TTP (Tactics, Techniques, Procedures) yang digunakan threat actor; pemetaan ke MITRE ATT&amp;CK</w:t>
            </w:r>
          </w:p>
        </w:tc>
        <w:tc>
          <w:tcPr>
            <w:tcW w:type="dxa" w:w="3118"/>
            <w:shd w:val="clear" w:color="auto" w:fill="F2F7FB"/>
          </w:tcPr>
          <w:p>
            <w:r>
              <w:rPr>
                <w:sz w:val="18"/>
              </w:rPr>
              <w:t>Security Architect, SOC Tier 2/3</w:t>
            </w:r>
          </w:p>
        </w:tc>
      </w:tr>
      <w:tr>
        <w:tc>
          <w:tcPr>
            <w:tcW w:type="dxa" w:w="3118"/>
            <w:shd w:val="clear" w:color="auto" w:fill="DEEAF1"/>
          </w:tcPr>
          <w:p>
            <w:r>
              <w:rPr>
                <w:b/>
                <w:color w:val="1F497D"/>
                <w:sz w:val="18"/>
              </w:rPr>
              <w:t>Operational TI</w:t>
            </w:r>
          </w:p>
        </w:tc>
        <w:tc>
          <w:tcPr>
            <w:tcW w:type="dxa" w:w="3118"/>
            <w:shd w:val="clear" w:color="auto" w:fill="DEEAF1"/>
          </w:tcPr>
          <w:p>
            <w:r>
              <w:rPr>
                <w:sz w:val="18"/>
              </w:rPr>
              <w:t>Informasi spesifik tentang serangan yang sedang atau akan terjadi, target potensial, timeline</w:t>
            </w:r>
          </w:p>
        </w:tc>
        <w:tc>
          <w:tcPr>
            <w:tcW w:type="dxa" w:w="3118"/>
            <w:shd w:val="clear" w:color="auto" w:fill="DEEAF1"/>
          </w:tcPr>
          <w:p>
            <w:r>
              <w:rPr>
                <w:sz w:val="18"/>
              </w:rPr>
              <w:t>Incident Response Team, SOC</w:t>
            </w:r>
          </w:p>
        </w:tc>
      </w:tr>
      <w:tr>
        <w:tc>
          <w:tcPr>
            <w:tcW w:type="dxa" w:w="3118"/>
            <w:shd w:val="clear" w:color="auto" w:fill="F2F7FB"/>
          </w:tcPr>
          <w:p>
            <w:r>
              <w:rPr>
                <w:b/>
                <w:color w:val="1F497D"/>
                <w:sz w:val="18"/>
              </w:rPr>
              <w:t>Technical TI</w:t>
            </w:r>
          </w:p>
        </w:tc>
        <w:tc>
          <w:tcPr>
            <w:tcW w:type="dxa" w:w="3118"/>
            <w:shd w:val="clear" w:color="auto" w:fill="F2F7FB"/>
          </w:tcPr>
          <w:p>
            <w:r>
              <w:rPr>
                <w:sz w:val="18"/>
              </w:rPr>
              <w:t>IoC: IP berbahaya, domain, URL, hash malware, signature, YARA rules, SNORT rules</w:t>
            </w:r>
          </w:p>
        </w:tc>
        <w:tc>
          <w:tcPr>
            <w:tcW w:type="dxa" w:w="3118"/>
            <w:shd w:val="clear" w:color="auto" w:fill="F2F7FB"/>
          </w:tcPr>
          <w:p>
            <w:r>
              <w:rPr>
                <w:sz w:val="18"/>
              </w:rPr>
              <w:t>SOC Tier 1, SIEM Engineer, EDR Admin</w:t>
            </w:r>
          </w:p>
        </w:tc>
      </w:tr>
    </w:tbl>
    <w:p/>
    <w:p>
      <w:pPr>
        <w:spacing w:before="200" w:after="120"/>
      </w:pPr>
      <w:r>
        <w:rPr>
          <w:b/>
          <w:color w:val="2E74B5"/>
          <w:sz w:val="24"/>
        </w:rPr>
        <w:t>7. Tanggung Jawab</w:t>
      </w:r>
    </w:p>
    <w:tbl>
      <w:tblPr>
        <w:tblStyle w:val="TableGrid"/>
        <w:tblW w:type="auto" w:w="0"/>
        <w:tblLook w:firstColumn="1" w:firstRow="1" w:lastColumn="0" w:lastRow="0" w:noHBand="0" w:noVBand="1" w:val="04A0"/>
      </w:tblPr>
      <w:tblGrid>
        <w:gridCol w:w="3118"/>
        <w:gridCol w:w="3118"/>
        <w:gridCol w:w="3118"/>
      </w:tblGrid>
      <w:tr>
        <w:tc>
          <w:tcPr>
            <w:tcW w:type="dxa" w:w="3118"/>
            <w:shd w:val="clear" w:color="auto" w:fill="1F497D"/>
          </w:tcPr>
          <w:p>
            <w:r>
              <w:rPr>
                <w:b/>
                <w:color w:val="FFFFFF"/>
                <w:sz w:val="18"/>
              </w:rPr>
              <w:t>Peran</w:t>
            </w:r>
          </w:p>
        </w:tc>
        <w:tc>
          <w:tcPr>
            <w:tcW w:type="dxa" w:w="3118"/>
            <w:shd w:val="clear" w:color="auto" w:fill="1F497D"/>
          </w:tcPr>
          <w:p>
            <w:r>
              <w:rPr>
                <w:b/>
                <w:color w:val="FFFFFF"/>
                <w:sz w:val="18"/>
              </w:rPr>
              <w:t>Tanggung Jawab Utama</w:t>
            </w:r>
          </w:p>
        </w:tc>
        <w:tc>
          <w:tcPr>
            <w:tcW w:type="dxa" w:w="3118"/>
            <w:shd w:val="clear" w:color="auto" w:fill="1F497D"/>
          </w:tcPr>
          <w:p>
            <w:r>
              <w:rPr>
                <w:b/>
                <w:color w:val="FFFFFF"/>
                <w:sz w:val="18"/>
              </w:rPr>
              <w:t>Eskalasi Kepada</w:t>
            </w:r>
          </w:p>
        </w:tc>
      </w:tr>
      <w:tr>
        <w:tc>
          <w:tcPr>
            <w:tcW w:type="dxa" w:w="3118"/>
            <w:shd w:val="clear" w:color="auto" w:fill="DEEAF1"/>
          </w:tcPr>
          <w:p>
            <w:r>
              <w:rPr>
                <w:b/>
                <w:sz w:val="18"/>
              </w:rPr>
              <w:t>CISO</w:t>
            </w:r>
          </w:p>
        </w:tc>
        <w:tc>
          <w:tcPr>
            <w:tcW w:type="dxa" w:w="3118"/>
            <w:shd w:val="clear" w:color="auto" w:fill="DEEAF1"/>
          </w:tcPr>
          <w:p>
            <w:r>
              <w:rPr>
                <w:sz w:val="18"/>
              </w:rPr>
              <w:t>Menetapkan strategi TI; menyetujui anggaran; menerima laporan TI strategis; eskalasi ke Direksi</w:t>
            </w:r>
          </w:p>
        </w:tc>
        <w:tc>
          <w:tcPr>
            <w:tcW w:type="dxa" w:w="3118"/>
            <w:shd w:val="clear" w:color="auto" w:fill="DEEAF1"/>
          </w:tcPr>
          <w:p>
            <w:r>
              <w:rPr>
                <w:sz w:val="18"/>
              </w:rPr>
              <w:t>Direktur Utama</w:t>
            </w:r>
          </w:p>
        </w:tc>
      </w:tr>
      <w:tr>
        <w:tc>
          <w:tcPr>
            <w:tcW w:type="dxa" w:w="3118"/>
            <w:shd w:val="clear" w:color="auto" w:fill="F2F7FB"/>
          </w:tcPr>
          <w:p>
            <w:r>
              <w:rPr>
                <w:b/>
                <w:sz w:val="18"/>
              </w:rPr>
              <w:t>Threat Intelligence Analyst</w:t>
            </w:r>
          </w:p>
        </w:tc>
        <w:tc>
          <w:tcPr>
            <w:tcW w:type="dxa" w:w="3118"/>
            <w:shd w:val="clear" w:color="auto" w:fill="F2F7FB"/>
          </w:tcPr>
          <w:p>
            <w:r>
              <w:rPr>
                <w:sz w:val="18"/>
              </w:rPr>
              <w:t>Pengumpulan, analisis, dan produksi laporan TI; pengelolaan threat feeds; pembaruan IoC</w:t>
            </w:r>
          </w:p>
        </w:tc>
        <w:tc>
          <w:tcPr>
            <w:tcW w:type="dxa" w:w="3118"/>
            <w:shd w:val="clear" w:color="auto" w:fill="F2F7FB"/>
          </w:tcPr>
          <w:p>
            <w:r>
              <w:rPr>
                <w:sz w:val="18"/>
              </w:rPr>
              <w:t>CISO</w:t>
            </w:r>
          </w:p>
        </w:tc>
      </w:tr>
      <w:tr>
        <w:tc>
          <w:tcPr>
            <w:tcW w:type="dxa" w:w="3118"/>
            <w:shd w:val="clear" w:color="auto" w:fill="DEEAF1"/>
          </w:tcPr>
          <w:p>
            <w:r>
              <w:rPr>
                <w:b/>
                <w:sz w:val="18"/>
              </w:rPr>
              <w:t>SOC Analyst (Tier 2/3)</w:t>
            </w:r>
          </w:p>
        </w:tc>
        <w:tc>
          <w:tcPr>
            <w:tcW w:type="dxa" w:w="3118"/>
            <w:shd w:val="clear" w:color="auto" w:fill="DEEAF1"/>
          </w:tcPr>
          <w:p>
            <w:r>
              <w:rPr>
                <w:sz w:val="18"/>
              </w:rPr>
              <w:t>Konsumsi TI untuk hunting dan deteksi; tuning SIEM rules berdasarkan TI; validasi IoC</w:t>
            </w:r>
          </w:p>
        </w:tc>
        <w:tc>
          <w:tcPr>
            <w:tcW w:type="dxa" w:w="3118"/>
            <w:shd w:val="clear" w:color="auto" w:fill="DEEAF1"/>
          </w:tcPr>
          <w:p>
            <w:r>
              <w:rPr>
                <w:sz w:val="18"/>
              </w:rPr>
              <w:t>Threat Intel Analyst / CISO</w:t>
            </w:r>
          </w:p>
        </w:tc>
      </w:tr>
      <w:tr>
        <w:tc>
          <w:tcPr>
            <w:tcW w:type="dxa" w:w="3118"/>
            <w:shd w:val="clear" w:color="auto" w:fill="F2F7FB"/>
          </w:tcPr>
          <w:p>
            <w:r>
              <w:rPr>
                <w:b/>
                <w:sz w:val="18"/>
              </w:rPr>
              <w:t>Incident Response Team</w:t>
            </w:r>
          </w:p>
        </w:tc>
        <w:tc>
          <w:tcPr>
            <w:tcW w:type="dxa" w:w="3118"/>
            <w:shd w:val="clear" w:color="auto" w:fill="F2F7FB"/>
          </w:tcPr>
          <w:p>
            <w:r>
              <w:rPr>
                <w:sz w:val="18"/>
              </w:rPr>
              <w:t>Memanfaatkan TI untuk konteks investigasi insiden; berbagi intelijen pasca insiden</w:t>
            </w:r>
          </w:p>
        </w:tc>
        <w:tc>
          <w:tcPr>
            <w:tcW w:type="dxa" w:w="3118"/>
            <w:shd w:val="clear" w:color="auto" w:fill="F2F7FB"/>
          </w:tcPr>
          <w:p>
            <w:r>
              <w:rPr>
                <w:sz w:val="18"/>
              </w:rPr>
              <w:t>CISO</w:t>
            </w:r>
          </w:p>
        </w:tc>
      </w:tr>
      <w:tr>
        <w:tc>
          <w:tcPr>
            <w:tcW w:type="dxa" w:w="3118"/>
            <w:shd w:val="clear" w:color="auto" w:fill="DEEAF1"/>
          </w:tcPr>
          <w:p>
            <w:r>
              <w:rPr>
                <w:b/>
                <w:sz w:val="18"/>
              </w:rPr>
              <w:t>IT Security Engineer</w:t>
            </w:r>
          </w:p>
        </w:tc>
        <w:tc>
          <w:tcPr>
            <w:tcW w:type="dxa" w:w="3118"/>
            <w:shd w:val="clear" w:color="auto" w:fill="DEEAF1"/>
          </w:tcPr>
          <w:p>
            <w:r>
              <w:rPr>
                <w:sz w:val="18"/>
              </w:rPr>
              <w:t>Implementasi IoC ke tools (SIEM, firewall, proxy, EDR); pemeliharaan threat intel platform</w:t>
            </w:r>
          </w:p>
        </w:tc>
        <w:tc>
          <w:tcPr>
            <w:tcW w:type="dxa" w:w="3118"/>
            <w:shd w:val="clear" w:color="auto" w:fill="DEEAF1"/>
          </w:tcPr>
          <w:p>
            <w:r>
              <w:rPr>
                <w:sz w:val="18"/>
              </w:rPr>
              <w:t>Threat Intel Analyst</w:t>
            </w:r>
          </w:p>
        </w:tc>
      </w:tr>
      <w:tr>
        <w:tc>
          <w:tcPr>
            <w:tcW w:type="dxa" w:w="3118"/>
            <w:shd w:val="clear" w:color="auto" w:fill="F2F7FB"/>
          </w:tcPr>
          <w:p>
            <w:r>
              <w:rPr>
                <w:b/>
                <w:sz w:val="18"/>
              </w:rPr>
              <w:t>Risk &amp; Compliance</w:t>
            </w:r>
          </w:p>
        </w:tc>
        <w:tc>
          <w:tcPr>
            <w:tcW w:type="dxa" w:w="3118"/>
            <w:shd w:val="clear" w:color="auto" w:fill="F2F7FB"/>
          </w:tcPr>
          <w:p>
            <w:r>
              <w:rPr>
                <w:sz w:val="18"/>
              </w:rPr>
              <w:t>Menggunakan TI strategis untuk penilaian risiko; pelaporan TI ke regulator jika diperlukan</w:t>
            </w:r>
          </w:p>
        </w:tc>
        <w:tc>
          <w:tcPr>
            <w:tcW w:type="dxa" w:w="3118"/>
            <w:shd w:val="clear" w:color="auto" w:fill="F2F7FB"/>
          </w:tcPr>
          <w:p>
            <w:r>
              <w:rPr>
                <w:sz w:val="18"/>
              </w:rPr>
              <w:t>CISO</w:t>
            </w:r>
          </w:p>
        </w:tc>
      </w:tr>
    </w:tbl>
    <w:p/>
    <w:p>
      <w:pPr>
        <w:spacing w:before="200" w:after="120"/>
      </w:pPr>
      <w:r>
        <w:rPr>
          <w:b/>
          <w:color w:val="2E74B5"/>
          <w:sz w:val="24"/>
        </w:rPr>
        <w:t>8. Kebijakan Berbagi Intelijen (Intelligence Sharing)</w:t>
      </w:r>
    </w:p>
    <w:p>
      <w:pPr>
        <w:spacing w:before="40" w:after="80"/>
      </w:pPr>
      <w:r>
        <w:rPr>
          <w:sz w:val="22"/>
        </w:rPr>
        <w:t>Berbagi intelijen dengan pihak eksternal harus mempertimbangkan prinsip TLP (Traffic Light Protocol):</w:t>
      </w:r>
    </w:p>
    <w:tbl>
      <w:tblPr>
        <w:tblStyle w:val="TableGrid"/>
        <w:tblW w:type="auto" w:w="0"/>
        <w:tblLook w:firstColumn="1" w:firstRow="1" w:lastColumn="0" w:lastRow="0" w:noHBand="0" w:noVBand="1" w:val="04A0"/>
      </w:tblPr>
      <w:tblGrid>
        <w:gridCol w:w="3118"/>
        <w:gridCol w:w="3118"/>
        <w:gridCol w:w="3118"/>
      </w:tblGrid>
      <w:tr>
        <w:tc>
          <w:tcPr>
            <w:tcW w:type="dxa" w:w="3118"/>
            <w:shd w:val="clear" w:color="auto" w:fill="1F497D"/>
          </w:tcPr>
          <w:p>
            <w:r>
              <w:rPr>
                <w:b/>
                <w:color w:val="FFFFFF"/>
                <w:sz w:val="18"/>
              </w:rPr>
              <w:t>TLP Level</w:t>
            </w:r>
          </w:p>
        </w:tc>
        <w:tc>
          <w:tcPr>
            <w:tcW w:type="dxa" w:w="3118"/>
            <w:shd w:val="clear" w:color="auto" w:fill="1F497D"/>
          </w:tcPr>
          <w:p>
            <w:r>
              <w:rPr>
                <w:b/>
                <w:color w:val="FFFFFF"/>
                <w:sz w:val="18"/>
              </w:rPr>
              <w:t>Deskripsi</w:t>
            </w:r>
          </w:p>
        </w:tc>
        <w:tc>
          <w:tcPr>
            <w:tcW w:type="dxa" w:w="3118"/>
            <w:shd w:val="clear" w:color="auto" w:fill="1F497D"/>
          </w:tcPr>
          <w:p>
            <w:r>
              <w:rPr>
                <w:b/>
                <w:color w:val="FFFFFF"/>
                <w:sz w:val="18"/>
              </w:rPr>
              <w:t>Distribusi yang Diizinkan</w:t>
            </w:r>
          </w:p>
        </w:tc>
      </w:tr>
      <w:tr>
        <w:tc>
          <w:tcPr>
            <w:tcW w:type="dxa" w:w="3118"/>
            <w:shd w:val="clear" w:color="auto" w:fill="FF4444"/>
          </w:tcPr>
          <w:p>
            <w:r>
              <w:rPr>
                <w:b/>
                <w:color w:val="FFFFFF"/>
                <w:sz w:val="18"/>
              </w:rPr>
              <w:t>TLP:RED</w:t>
            </w:r>
          </w:p>
        </w:tc>
        <w:tc>
          <w:tcPr>
            <w:tcW w:type="dxa" w:w="3118"/>
            <w:shd w:val="clear" w:color="auto" w:fill="DEEAF1"/>
          </w:tcPr>
          <w:p>
            <w:r>
              <w:rPr>
                <w:sz w:val="18"/>
              </w:rPr>
              <w:t>Sangat sensitif; terkait dengan serangan aktif</w:t>
            </w:r>
          </w:p>
        </w:tc>
        <w:tc>
          <w:tcPr>
            <w:tcW w:type="dxa" w:w="3118"/>
            <w:shd w:val="clear" w:color="auto" w:fill="DEEAF1"/>
          </w:tcPr>
          <w:p>
            <w:r>
              <w:rPr>
                <w:sz w:val="18"/>
              </w:rPr>
              <w:t>Hanya kepada penerima yang disebutkan secara eksplisit</w:t>
            </w:r>
          </w:p>
        </w:tc>
      </w:tr>
      <w:tr>
        <w:tc>
          <w:tcPr>
            <w:tcW w:type="dxa" w:w="3118"/>
            <w:shd w:val="clear" w:color="auto" w:fill="FF8C00"/>
          </w:tcPr>
          <w:p>
            <w:r>
              <w:rPr>
                <w:b/>
                <w:color w:val="FFFFFF"/>
                <w:sz w:val="18"/>
              </w:rPr>
              <w:t>TLP:AMBER</w:t>
            </w:r>
          </w:p>
        </w:tc>
        <w:tc>
          <w:tcPr>
            <w:tcW w:type="dxa" w:w="3118"/>
            <w:shd w:val="clear" w:color="auto" w:fill="F2F7FB"/>
          </w:tcPr>
          <w:p>
            <w:r>
              <w:rPr>
                <w:sz w:val="18"/>
              </w:rPr>
              <w:t>Informasi sensitif dengan distribusi terbatas</w:t>
            </w:r>
          </w:p>
        </w:tc>
        <w:tc>
          <w:tcPr>
            <w:tcW w:type="dxa" w:w="3118"/>
            <w:shd w:val="clear" w:color="auto" w:fill="F2F7FB"/>
          </w:tcPr>
          <w:p>
            <w:r>
              <w:rPr>
                <w:sz w:val="18"/>
              </w:rPr>
              <w:t>Dalam organisasi dan mitra terpercaya tertentu</w:t>
            </w:r>
          </w:p>
        </w:tc>
      </w:tr>
      <w:tr>
        <w:tc>
          <w:tcPr>
            <w:tcW w:type="dxa" w:w="3118"/>
            <w:shd w:val="clear" w:color="auto" w:fill="2ECC40"/>
          </w:tcPr>
          <w:p>
            <w:r>
              <w:rPr>
                <w:b/>
                <w:color w:val="FFFFFF"/>
                <w:sz w:val="18"/>
              </w:rPr>
              <w:t>TLP:GREEN</w:t>
            </w:r>
          </w:p>
        </w:tc>
        <w:tc>
          <w:tcPr>
            <w:tcW w:type="dxa" w:w="3118"/>
            <w:shd w:val="clear" w:color="auto" w:fill="DEEAF1"/>
          </w:tcPr>
          <w:p>
            <w:r>
              <w:rPr>
                <w:sz w:val="18"/>
              </w:rPr>
              <w:t>Informasi yang berguna untuk komunitas lebih luas</w:t>
            </w:r>
          </w:p>
        </w:tc>
        <w:tc>
          <w:tcPr>
            <w:tcW w:type="dxa" w:w="3118"/>
            <w:shd w:val="clear" w:color="auto" w:fill="DEEAF1"/>
          </w:tcPr>
          <w:p>
            <w:r>
              <w:rPr>
                <w:sz w:val="18"/>
              </w:rPr>
              <w:t>Komunitas keamanan, ISAC, mitra tanpa restriksi</w:t>
            </w:r>
          </w:p>
        </w:tc>
      </w:tr>
      <w:tr>
        <w:tc>
          <w:tcPr>
            <w:tcW w:type="dxa" w:w="3118"/>
            <w:shd w:val="clear" w:color="auto" w:fill="AAAAAA"/>
          </w:tcPr>
          <w:p>
            <w:r>
              <w:rPr>
                <w:b/>
                <w:color w:val="FFFFFF"/>
                <w:sz w:val="18"/>
              </w:rPr>
              <w:t>TLP:CLEAR</w:t>
            </w:r>
          </w:p>
        </w:tc>
        <w:tc>
          <w:tcPr>
            <w:tcW w:type="dxa" w:w="3118"/>
            <w:shd w:val="clear" w:color="auto" w:fill="F2F7FB"/>
          </w:tcPr>
          <w:p>
            <w:r>
              <w:rPr>
                <w:sz w:val="18"/>
              </w:rPr>
              <w:t>Informasi publik yang dapat disebarluaskan</w:t>
            </w:r>
          </w:p>
        </w:tc>
        <w:tc>
          <w:tcPr>
            <w:tcW w:type="dxa" w:w="3118"/>
            <w:shd w:val="clear" w:color="auto" w:fill="F2F7FB"/>
          </w:tcPr>
          <w:p>
            <w:r>
              <w:rPr>
                <w:sz w:val="18"/>
              </w:rPr>
              <w:t>Tidak ada restriksi, dapat dipublikasikan</w:t>
            </w:r>
          </w:p>
        </w:tc>
      </w:tr>
    </w:tbl>
    <w:p/>
    <w:p>
      <w:r>
        <w:br w:type="page"/>
      </w:r>
    </w:p>
    <w:p>
      <w:pPr>
        <w:spacing w:before="280" w:after="120"/>
        <w:pBdr>
          <w:bottom w:val="single" w:sz="6" w:color="1F497D"/>
        </w:pBdr>
      </w:pPr>
      <w:r>
        <w:rPr>
          <w:b/>
          <w:color w:val="1F497D"/>
          <w:sz w:val="28"/>
        </w:rPr>
        <w:t>BAGIAN B — SOP THREAT INTELLIGENCE</w:t>
      </w:r>
    </w:p>
    <w:p>
      <w:pPr>
        <w:spacing w:before="200" w:after="120"/>
      </w:pPr>
      <w:r>
        <w:rPr>
          <w:b/>
          <w:color w:val="2E74B5"/>
          <w:sz w:val="24"/>
        </w:rPr>
        <w:t>SOP-TI-01: Pengumpulan dan Pemrosesan Threat Intelligence</w:t>
      </w:r>
    </w:p>
    <w:tbl>
      <w:tblPr>
        <w:tblStyle w:val="TableGrid"/>
        <w:tblW w:type="auto" w:w="0"/>
        <w:tblLook w:firstColumn="1" w:firstRow="1" w:lastColumn="0" w:lastRow="0" w:noHBand="0" w:noVBand="1" w:val="04A0"/>
      </w:tblPr>
      <w:tblGrid>
        <w:gridCol w:w="9355"/>
      </w:tblGrid>
      <w:tr>
        <w:tc>
          <w:tcPr>
            <w:tcW w:type="dxa" w:w="9355"/>
            <w:shd w:val="clear" w:color="auto" w:fill="EBF3FB"/>
          </w:tcPr>
          <w:p>
            <w:pPr>
              <w:spacing w:before="120" w:after="120"/>
              <w:ind w:left="170"/>
            </w:pPr>
            <w:r>
              <w:rPr>
                <w:i/>
                <w:sz w:val="20"/>
              </w:rPr>
              <w:t>SOP ini mengatur proses pengumpulan sumber threat intelligence, normalisasi data, dan penyimpanan ke platform TI (TIP). Dijalankan secara otomatis (feeds) dan manual (analisis).</w:t>
            </w:r>
          </w:p>
        </w:tc>
      </w:tr>
    </w:tbl>
    <w:p>
      <w:pPr>
        <w:spacing w:after="40"/>
      </w:pPr>
    </w:p>
    <w:tbl>
      <w:tblPr>
        <w:tblStyle w:val="TableGrid"/>
        <w:tblW w:type="auto" w:w="0"/>
        <w:tblLook w:firstColumn="1" w:firstRow="1" w:lastColumn="0" w:lastRow="0" w:noHBand="0" w:noVBand="1" w:val="04A0"/>
      </w:tblPr>
      <w:tblGrid>
        <w:gridCol w:w="9355"/>
      </w:tblGrid>
      <w:tr>
        <w:tc>
          <w:tcPr>
            <w:tcW w:type="dxa" w:w="9355"/>
            <w:shd w:val="clear" w:color="auto" w:fill="B85C00"/>
          </w:tcPr>
          <w:p>
            <w:pPr>
              <w:spacing w:before="80" w:after="80"/>
            </w:pPr>
            <w:r>
              <w:rPr>
                <w:b/>
                <w:color w:val="FFFFFF"/>
                <w:sz w:val="20"/>
              </w:rPr>
              <w:t xml:space="preserve">  Langkah 1: KONFIGURASI &amp; PEMELIHARAAN SUMBER TI</w:t>
            </w:r>
          </w:p>
        </w:tc>
      </w:tr>
      <w:tr>
        <w:tc>
          <w:tcPr>
            <w:tcW w:type="dxa" w:w="9355"/>
            <w:shd w:val="clear" w:color="auto" w:fill="FFF8F0"/>
          </w:tcPr>
          <w:p>
            <w:pPr>
              <w:spacing w:before="80"/>
              <w:ind w:left="170"/>
            </w:pPr>
            <w:r>
              <w:rPr>
                <w:sz w:val="20"/>
              </w:rPr>
              <w:t>Konfigurasikan semua threat feed (OSINT, komersial, internal) ke dalam Threat Intelligence Platform (TIP). Pastikan API key valid, jadwal polling terkonfigurasi (15 menit untuk kritis, 1 jam untuk standar), dan format normalisasi STIX/TAXII aktif. Tambahkan filter relevansi berdasarkan tag industri: financial services, insurance, Indonesia.</w:t>
            </w:r>
          </w:p>
          <w:p>
            <w:pPr>
              <w:spacing w:after="80"/>
              <w:ind w:left="170"/>
            </w:pPr>
            <w:r>
              <w:rPr>
                <w:b/>
                <w:color w:val="1F497D"/>
                <w:sz w:val="18"/>
              </w:rPr>
              <w:t xml:space="preserve">👤 IT Security Engineer   </w:t>
            </w:r>
            <w:r>
              <w:rPr>
                <w:color w:val="404040"/>
                <w:sz w:val="18"/>
              </w:rPr>
              <w:t xml:space="preserve">📥 Input: Daftar sumber TI yang disetujui, API key vendor   </w:t>
            </w:r>
            <w:r>
              <w:rPr>
                <w:color w:val="404040"/>
                <w:sz w:val="18"/>
              </w:rPr>
              <w:t>📤 Output: TIP terkonfigurasi, feed aktif</w:t>
            </w:r>
          </w:p>
        </w:tc>
      </w:tr>
    </w:tbl>
    <w:p>
      <w:pPr>
        <w:spacing w:after="40"/>
      </w:pPr>
    </w:p>
    <w:tbl>
      <w:tblPr>
        <w:tblStyle w:val="TableGrid"/>
        <w:tblW w:type="auto" w:w="0"/>
        <w:tblLook w:firstColumn="1" w:firstRow="1" w:lastColumn="0" w:lastRow="0" w:noHBand="0" w:noVBand="1" w:val="04A0"/>
      </w:tblPr>
      <w:tblGrid>
        <w:gridCol w:w="9355"/>
      </w:tblGrid>
      <w:tr>
        <w:tc>
          <w:tcPr>
            <w:tcW w:type="dxa" w:w="9355"/>
            <w:shd w:val="clear" w:color="auto" w:fill="B85C00"/>
          </w:tcPr>
          <w:p>
            <w:pPr>
              <w:spacing w:before="80" w:after="80"/>
            </w:pPr>
            <w:r>
              <w:rPr>
                <w:b/>
                <w:color w:val="FFFFFF"/>
                <w:sz w:val="20"/>
              </w:rPr>
              <w:t xml:space="preserve">  Langkah 2: PENGUMPULAN IOC OTOMATIS</w:t>
            </w:r>
          </w:p>
        </w:tc>
      </w:tr>
      <w:tr>
        <w:tc>
          <w:tcPr>
            <w:tcW w:type="dxa" w:w="9355"/>
            <w:shd w:val="clear" w:color="auto" w:fill="FFF8F0"/>
          </w:tcPr>
          <w:p>
            <w:pPr>
              <w:spacing w:before="80"/>
              <w:ind w:left="170"/>
            </w:pPr>
            <w:r>
              <w:rPr>
                <w:sz w:val="20"/>
              </w:rPr>
              <w:t>Platform TIP secara otomatis mengumpulkan IoC dari semua feed yang terkonfigurasi. Deduplikasi IoC diterapkan otomatis. Setiap IoC mendapatkan metadata: sumber, timestamp, tipe (IP, domain, hash, URL, email), dan confidence score awal berdasarkan reputasi sumber.</w:t>
            </w:r>
          </w:p>
          <w:p>
            <w:pPr>
              <w:spacing w:after="80"/>
              <w:ind w:left="170"/>
            </w:pPr>
            <w:r>
              <w:rPr>
                <w:b/>
                <w:color w:val="1F497D"/>
                <w:sz w:val="18"/>
              </w:rPr>
              <w:t xml:space="preserve">👤 TIP (Otomatis)   </w:t>
            </w:r>
            <w:r>
              <w:rPr>
                <w:color w:val="404040"/>
                <w:sz w:val="18"/>
              </w:rPr>
              <w:t xml:space="preserve">📥 Input: Feed aktif   </w:t>
            </w:r>
            <w:r>
              <w:rPr>
                <w:color w:val="404040"/>
                <w:sz w:val="18"/>
              </w:rPr>
              <w:t>📤 Output: Raw IoC dengan metadata di TIP</w:t>
            </w:r>
          </w:p>
        </w:tc>
      </w:tr>
    </w:tbl>
    <w:p>
      <w:pPr>
        <w:spacing w:after="40"/>
      </w:pPr>
    </w:p>
    <w:tbl>
      <w:tblPr>
        <w:tblStyle w:val="TableGrid"/>
        <w:tblW w:type="auto" w:w="0"/>
        <w:tblLook w:firstColumn="1" w:firstRow="1" w:lastColumn="0" w:lastRow="0" w:noHBand="0" w:noVBand="1" w:val="04A0"/>
      </w:tblPr>
      <w:tblGrid>
        <w:gridCol w:w="9355"/>
      </w:tblGrid>
      <w:tr>
        <w:tc>
          <w:tcPr>
            <w:tcW w:type="dxa" w:w="9355"/>
            <w:shd w:val="clear" w:color="auto" w:fill="B85C00"/>
          </w:tcPr>
          <w:p>
            <w:pPr>
              <w:spacing w:before="80" w:after="80"/>
            </w:pPr>
            <w:r>
              <w:rPr>
                <w:b/>
                <w:color w:val="FFFFFF"/>
                <w:sz w:val="20"/>
              </w:rPr>
              <w:t xml:space="preserve">  Langkah 3: VALIDASI DAN ENRICHMENT IOC</w:t>
            </w:r>
          </w:p>
        </w:tc>
      </w:tr>
      <w:tr>
        <w:tc>
          <w:tcPr>
            <w:tcW w:type="dxa" w:w="9355"/>
            <w:shd w:val="clear" w:color="auto" w:fill="FFF8F0"/>
          </w:tcPr>
          <w:p>
            <w:pPr>
              <w:spacing w:before="80"/>
              <w:ind w:left="170"/>
            </w:pPr>
            <w:r>
              <w:rPr>
                <w:sz w:val="20"/>
              </w:rPr>
              <w:t>Analis TI melakukan enrichment IoC: cross-reference dengan VirusTotal, Shodan, Whois; tambahkan konteks (threat actor, kampanye, TTPs); set confidence level (High: &gt;80% sumber setuju, Medium: 50-80%, Low: &lt;50%); tandai false positive berdasarkan whitelist internal. Whitelist mencakup IP internal, domain mitra, CDN yang digunakan.</w:t>
            </w:r>
          </w:p>
          <w:p>
            <w:pPr>
              <w:spacing w:after="80"/>
              <w:ind w:left="170"/>
            </w:pPr>
            <w:r>
              <w:rPr>
                <w:b/>
                <w:color w:val="1F497D"/>
                <w:sz w:val="18"/>
              </w:rPr>
              <w:t xml:space="preserve">👤 Threat Intelligence Analyst   </w:t>
            </w:r>
            <w:r>
              <w:rPr>
                <w:color w:val="404040"/>
                <w:sz w:val="18"/>
              </w:rPr>
              <w:t xml:space="preserve">📥 Input: Raw IoC   </w:t>
            </w:r>
            <w:r>
              <w:rPr>
                <w:color w:val="404040"/>
                <w:sz w:val="18"/>
              </w:rPr>
              <w:t>📤 Output: Enriched IoC dengan confidence level</w:t>
            </w:r>
          </w:p>
        </w:tc>
      </w:tr>
    </w:tbl>
    <w:p>
      <w:pPr>
        <w:spacing w:after="40"/>
      </w:pPr>
    </w:p>
    <w:tbl>
      <w:tblPr>
        <w:tblStyle w:val="TableGrid"/>
        <w:tblW w:type="auto" w:w="0"/>
        <w:tblLook w:firstColumn="1" w:firstRow="1" w:lastColumn="0" w:lastRow="0" w:noHBand="0" w:noVBand="1" w:val="04A0"/>
      </w:tblPr>
      <w:tblGrid>
        <w:gridCol w:w="9355"/>
      </w:tblGrid>
      <w:tr>
        <w:tc>
          <w:tcPr>
            <w:tcW w:type="dxa" w:w="9355"/>
            <w:shd w:val="clear" w:color="auto" w:fill="B85C00"/>
          </w:tcPr>
          <w:p>
            <w:pPr>
              <w:spacing w:before="80" w:after="80"/>
            </w:pPr>
            <w:r>
              <w:rPr>
                <w:b/>
                <w:color w:val="FFFFFF"/>
                <w:sz w:val="20"/>
              </w:rPr>
              <w:t xml:space="preserve">  Langkah 4: DISTRIBUSI IOC KE KONTROL KEAMANAN</w:t>
            </w:r>
          </w:p>
        </w:tc>
      </w:tr>
      <w:tr>
        <w:tc>
          <w:tcPr>
            <w:tcW w:type="dxa" w:w="9355"/>
            <w:shd w:val="clear" w:color="auto" w:fill="FFF8F0"/>
          </w:tcPr>
          <w:p>
            <w:pPr>
              <w:spacing w:before="80"/>
              <w:ind w:left="170"/>
            </w:pPr>
            <w:r>
              <w:rPr>
                <w:sz w:val="20"/>
              </w:rPr>
              <w:t>IoC dengan confidence High dan Medium didistribusikan otomatis ke: SIEM (block/alert rules), Firewall (IP blocking), DNS/Proxy (domain blocking), EDR (hash blocking), dan Email Gateway (sender blocking). IoC kritis (confidence High + severity Critical) memerlukan approval CISO sebelum blocking production.</w:t>
            </w:r>
          </w:p>
          <w:p>
            <w:pPr>
              <w:spacing w:after="80"/>
              <w:ind w:left="170"/>
            </w:pPr>
            <w:r>
              <w:rPr>
                <w:b/>
                <w:color w:val="1F497D"/>
                <w:sz w:val="18"/>
              </w:rPr>
              <w:t xml:space="preserve">👤 IT Security Engineer (otomatis via TIP integration)   </w:t>
            </w:r>
            <w:r>
              <w:rPr>
                <w:color w:val="404040"/>
                <w:sz w:val="18"/>
              </w:rPr>
              <w:t xml:space="preserve">📥 Input: Enriched IoC   </w:t>
            </w:r>
            <w:r>
              <w:rPr>
                <w:color w:val="404040"/>
                <w:sz w:val="18"/>
              </w:rPr>
              <w:t>📤 Output: Rules aktif di SIEM, Firewall, EDR, Proxy</w:t>
            </w:r>
          </w:p>
        </w:tc>
      </w:tr>
    </w:tbl>
    <w:p>
      <w:pPr>
        <w:spacing w:after="40"/>
      </w:pPr>
    </w:p>
    <w:p/>
    <w:p>
      <w:pPr>
        <w:spacing w:before="200" w:after="120"/>
      </w:pPr>
      <w:r>
        <w:rPr>
          <w:b/>
          <w:color w:val="2E74B5"/>
          <w:sz w:val="24"/>
        </w:rPr>
        <w:t>SOP-TI-02: Analisis dan Produksi Laporan Threat Intelligence</w:t>
      </w:r>
    </w:p>
    <w:tbl>
      <w:tblPr>
        <w:tblStyle w:val="TableGrid"/>
        <w:tblW w:type="auto" w:w="0"/>
        <w:tblLook w:firstColumn="1" w:firstRow="1" w:lastColumn="0" w:lastRow="0" w:noHBand="0" w:noVBand="1" w:val="04A0"/>
      </w:tblPr>
      <w:tblGrid>
        <w:gridCol w:w="9355"/>
      </w:tblGrid>
      <w:tr>
        <w:tc>
          <w:tcPr>
            <w:tcW w:type="dxa" w:w="9355"/>
            <w:shd w:val="clear" w:color="auto" w:fill="EBF3FB"/>
          </w:tcPr>
          <w:p>
            <w:pPr>
              <w:spacing w:before="120" w:after="120"/>
              <w:ind w:left="170"/>
            </w:pPr>
            <w:r>
              <w:rPr>
                <w:i/>
                <w:sz w:val="20"/>
              </w:rPr>
              <w:t>SOP ini mengatur proses analisis mendalam dan produksi laporan TI untuk berbagai tingkatan pengguna.</w:t>
            </w:r>
          </w:p>
        </w:tc>
      </w:tr>
    </w:tbl>
    <w:p>
      <w:pPr>
        <w:spacing w:after="40"/>
      </w:pPr>
    </w:p>
    <w:tbl>
      <w:tblPr>
        <w:tblStyle w:val="TableGrid"/>
        <w:tblW w:type="auto" w:w="0"/>
        <w:tblLook w:firstColumn="1" w:firstRow="1" w:lastColumn="0" w:lastRow="0" w:noHBand="0" w:noVBand="1" w:val="04A0"/>
      </w:tblPr>
      <w:tblGrid>
        <w:gridCol w:w="9355"/>
      </w:tblGrid>
      <w:tr>
        <w:tc>
          <w:tcPr>
            <w:tcW w:type="dxa" w:w="9355"/>
            <w:shd w:val="clear" w:color="auto" w:fill="B85C00"/>
          </w:tcPr>
          <w:p>
            <w:pPr>
              <w:spacing w:before="80" w:after="80"/>
            </w:pPr>
            <w:r>
              <w:rPr>
                <w:b/>
                <w:color w:val="FFFFFF"/>
                <w:sz w:val="20"/>
              </w:rPr>
              <w:t xml:space="preserve">  Langkah 1: IDENTIFIKASI KEBUTUHAN INTELIJEN</w:t>
            </w:r>
          </w:p>
        </w:tc>
      </w:tr>
      <w:tr>
        <w:tc>
          <w:tcPr>
            <w:tcW w:type="dxa" w:w="9355"/>
            <w:shd w:val="clear" w:color="auto" w:fill="FFF8F0"/>
          </w:tcPr>
          <w:p>
            <w:pPr>
              <w:spacing w:before="80"/>
              <w:ind w:left="170"/>
            </w:pPr>
            <w:r>
              <w:rPr>
                <w:sz w:val="20"/>
              </w:rPr>
              <w:t>Definisikan Priority Intelligence Requirements (PIR) bersama CISO dan stakeholder: ancaman apa yang paling kritis untuk dimonitor? Contoh PIR: 'Apakah ada threat actor yang secara aktif menarget perusahaan asuransi Indonesia?', 'Apakah ada exploit baru untuk sistem core asuransi kami?'. Tinjau PIR setiap kuartal.</w:t>
            </w:r>
          </w:p>
          <w:p>
            <w:pPr>
              <w:spacing w:after="80"/>
              <w:ind w:left="170"/>
            </w:pPr>
            <w:r>
              <w:rPr>
                <w:b/>
                <w:color w:val="1F497D"/>
                <w:sz w:val="18"/>
              </w:rPr>
              <w:t xml:space="preserve">👤 Threat Intel Analyst + CISO   </w:t>
            </w:r>
            <w:r>
              <w:rPr>
                <w:color w:val="404040"/>
                <w:sz w:val="18"/>
              </w:rPr>
              <w:t xml:space="preserve">📥 Input: Masukan dari CISO, Risk, insiden historis   </w:t>
            </w:r>
            <w:r>
              <w:rPr>
                <w:color w:val="404040"/>
                <w:sz w:val="18"/>
              </w:rPr>
              <w:t>📤 Output: Dokumen PIR</w:t>
            </w:r>
          </w:p>
        </w:tc>
      </w:tr>
    </w:tbl>
    <w:p>
      <w:pPr>
        <w:spacing w:after="40"/>
      </w:pPr>
    </w:p>
    <w:tbl>
      <w:tblPr>
        <w:tblStyle w:val="TableGrid"/>
        <w:tblW w:type="auto" w:w="0"/>
        <w:tblLook w:firstColumn="1" w:firstRow="1" w:lastColumn="0" w:lastRow="0" w:noHBand="0" w:noVBand="1" w:val="04A0"/>
      </w:tblPr>
      <w:tblGrid>
        <w:gridCol w:w="9355"/>
      </w:tblGrid>
      <w:tr>
        <w:tc>
          <w:tcPr>
            <w:tcW w:type="dxa" w:w="9355"/>
            <w:shd w:val="clear" w:color="auto" w:fill="B85C00"/>
          </w:tcPr>
          <w:p>
            <w:pPr>
              <w:spacing w:before="80" w:after="80"/>
            </w:pPr>
            <w:r>
              <w:rPr>
                <w:b/>
                <w:color w:val="FFFFFF"/>
                <w:sz w:val="20"/>
              </w:rPr>
              <w:t xml:space="preserve">  Langkah 2: ANALISIS THREAT ACTOR DAN KAMPANYE</w:t>
            </w:r>
          </w:p>
        </w:tc>
      </w:tr>
      <w:tr>
        <w:tc>
          <w:tcPr>
            <w:tcW w:type="dxa" w:w="9355"/>
            <w:shd w:val="clear" w:color="auto" w:fill="FFF8F0"/>
          </w:tcPr>
          <w:p>
            <w:pPr>
              <w:spacing w:before="80"/>
              <w:ind w:left="170"/>
            </w:pPr>
            <w:r>
              <w:rPr>
                <w:sz w:val="20"/>
              </w:rPr>
              <w:t>Lakukan analisis threat actor yang relevan: identifikasi motivasi (finansial, espionase, hacktivism), kapabilitas (TTP berdasarkan MITRE ATT&amp;CK), infrastruktur (C2 server, malware families), dan target historis di industri keuangan/asuransi Asia Tenggara. Gunakan Diamond Model of Intrusion Analysis sebagai framework.</w:t>
            </w:r>
          </w:p>
          <w:p>
            <w:pPr>
              <w:spacing w:after="80"/>
              <w:ind w:left="170"/>
            </w:pPr>
            <w:r>
              <w:rPr>
                <w:b/>
                <w:color w:val="1F497D"/>
                <w:sz w:val="18"/>
              </w:rPr>
              <w:t xml:space="preserve">👤 Threat Intel Analyst   </w:t>
            </w:r>
            <w:r>
              <w:rPr>
                <w:color w:val="404040"/>
                <w:sz w:val="18"/>
              </w:rPr>
              <w:t xml:space="preserve">📥 Input: IoC TIP, laporan vendor, OSINT   </w:t>
            </w:r>
            <w:r>
              <w:rPr>
                <w:color w:val="404040"/>
                <w:sz w:val="18"/>
              </w:rPr>
              <w:t>📤 Output: Threat Actor Profile</w:t>
            </w:r>
          </w:p>
        </w:tc>
      </w:tr>
    </w:tbl>
    <w:p>
      <w:pPr>
        <w:spacing w:after="40"/>
      </w:pPr>
    </w:p>
    <w:tbl>
      <w:tblPr>
        <w:tblStyle w:val="TableGrid"/>
        <w:tblW w:type="auto" w:w="0"/>
        <w:tblLook w:firstColumn="1" w:firstRow="1" w:lastColumn="0" w:lastRow="0" w:noHBand="0" w:noVBand="1" w:val="04A0"/>
      </w:tblPr>
      <w:tblGrid>
        <w:gridCol w:w="9355"/>
      </w:tblGrid>
      <w:tr>
        <w:tc>
          <w:tcPr>
            <w:tcW w:type="dxa" w:w="9355"/>
            <w:shd w:val="clear" w:color="auto" w:fill="B85C00"/>
          </w:tcPr>
          <w:p>
            <w:pPr>
              <w:spacing w:before="80" w:after="80"/>
            </w:pPr>
            <w:r>
              <w:rPr>
                <w:b/>
                <w:color w:val="FFFFFF"/>
                <w:sz w:val="20"/>
              </w:rPr>
              <w:t xml:space="preserve">  Langkah 3: PRODUKSI LAPORAN TI</w:t>
            </w:r>
          </w:p>
        </w:tc>
      </w:tr>
      <w:tr>
        <w:tc>
          <w:tcPr>
            <w:tcW w:type="dxa" w:w="9355"/>
            <w:shd w:val="clear" w:color="auto" w:fill="FFF8F0"/>
          </w:tcPr>
          <w:p>
            <w:pPr>
              <w:spacing w:before="80"/>
              <w:ind w:left="170"/>
            </w:pPr>
            <w:r>
              <w:rPr>
                <w:sz w:val="20"/>
              </w:rPr>
              <w:t>Produksi laporan TI sesuai siklus: (a) Flash Report: dalam 2 jam untuk ancaman kritis/zero-day; (b) Weekly Digest: setiap Senin pagi; (c) Monthly Threat Landscape: minggu pertama setiap bulan; (d) Quarterly Strategic Report: untuk Direksi dan Komite Risiko. Semua laporan menggunakan template standar dengan executive summary.</w:t>
            </w:r>
          </w:p>
          <w:p>
            <w:pPr>
              <w:spacing w:after="80"/>
              <w:ind w:left="170"/>
            </w:pPr>
            <w:r>
              <w:rPr>
                <w:b/>
                <w:color w:val="1F497D"/>
                <w:sz w:val="18"/>
              </w:rPr>
              <w:t xml:space="preserve">👤 Threat Intel Analyst   </w:t>
            </w:r>
            <w:r>
              <w:rPr>
                <w:color w:val="404040"/>
                <w:sz w:val="18"/>
              </w:rPr>
              <w:t xml:space="preserve">📥 Input: Analisis TI   </w:t>
            </w:r>
            <w:r>
              <w:rPr>
                <w:color w:val="404040"/>
                <w:sz w:val="18"/>
              </w:rPr>
              <w:t>📤 Output: TI Report (Flash/Weekly/Monthly/Quarterly)</w:t>
            </w:r>
          </w:p>
        </w:tc>
      </w:tr>
    </w:tbl>
    <w:p>
      <w:pPr>
        <w:spacing w:after="40"/>
      </w:pPr>
    </w:p>
    <w:tbl>
      <w:tblPr>
        <w:tblStyle w:val="TableGrid"/>
        <w:tblW w:type="auto" w:w="0"/>
        <w:tblLook w:firstColumn="1" w:firstRow="1" w:lastColumn="0" w:lastRow="0" w:noHBand="0" w:noVBand="1" w:val="04A0"/>
      </w:tblPr>
      <w:tblGrid>
        <w:gridCol w:w="9355"/>
      </w:tblGrid>
      <w:tr>
        <w:tc>
          <w:tcPr>
            <w:tcW w:type="dxa" w:w="9355"/>
            <w:shd w:val="clear" w:color="auto" w:fill="B85C00"/>
          </w:tcPr>
          <w:p>
            <w:pPr>
              <w:spacing w:before="80" w:after="80"/>
            </w:pPr>
            <w:r>
              <w:rPr>
                <w:b/>
                <w:color w:val="FFFFFF"/>
                <w:sz w:val="20"/>
              </w:rPr>
              <w:t xml:space="preserve">  Langkah 4: DISEMINASI DAN TINDAK LANJUT</w:t>
            </w:r>
          </w:p>
        </w:tc>
      </w:tr>
      <w:tr>
        <w:tc>
          <w:tcPr>
            <w:tcW w:type="dxa" w:w="9355"/>
            <w:shd w:val="clear" w:color="auto" w:fill="FFF8F0"/>
          </w:tcPr>
          <w:p>
            <w:pPr>
              <w:spacing w:before="80"/>
              <w:ind w:left="170"/>
            </w:pPr>
            <w:r>
              <w:rPr>
                <w:sz w:val="20"/>
              </w:rPr>
              <w:t>Distribusikan laporan sesuai klasifikasi TLP. Flash Report dikirim ke CISO dan SOC Lead melalui channel terenkripsi (Signal/email terenkripsi). Weekly digest ke Tim IT Security. Monthly report ke semua kepala departemen terkait. Pastikan setiap laporan memuat 'Action Items' yang jelas dan ditindaklanjuti dalam SLA yang ditetapkan.</w:t>
            </w:r>
          </w:p>
          <w:p>
            <w:pPr>
              <w:spacing w:after="80"/>
              <w:ind w:left="170"/>
            </w:pPr>
            <w:r>
              <w:rPr>
                <w:b/>
                <w:color w:val="1F497D"/>
                <w:sz w:val="18"/>
              </w:rPr>
              <w:t xml:space="preserve">👤 Threat Intel Analyst   </w:t>
            </w:r>
            <w:r>
              <w:rPr>
                <w:color w:val="404040"/>
                <w:sz w:val="18"/>
              </w:rPr>
              <w:t xml:space="preserve">📥 Input: TI Report   </w:t>
            </w:r>
            <w:r>
              <w:rPr>
                <w:color w:val="404040"/>
                <w:sz w:val="18"/>
              </w:rPr>
              <w:t>📤 Output: Tindakan keamanan yang diimplementasikan</w:t>
            </w:r>
          </w:p>
        </w:tc>
      </w:tr>
    </w:tbl>
    <w:p>
      <w:pPr>
        <w:spacing w:after="40"/>
      </w:pPr>
    </w:p>
    <w:p/>
    <w:p>
      <w:pPr>
        <w:spacing w:before="200" w:after="120"/>
      </w:pPr>
      <w:r>
        <w:rPr>
          <w:b/>
          <w:color w:val="2E74B5"/>
          <w:sz w:val="24"/>
        </w:rPr>
        <w:t>SOP-TI-03: Threat Hunting Berbasis Intelligence</w:t>
      </w:r>
    </w:p>
    <w:tbl>
      <w:tblPr>
        <w:tblStyle w:val="TableGrid"/>
        <w:tblW w:type="auto" w:w="0"/>
        <w:tblLook w:firstColumn="1" w:firstRow="1" w:lastColumn="0" w:lastRow="0" w:noHBand="0" w:noVBand="1" w:val="04A0"/>
      </w:tblPr>
      <w:tblGrid>
        <w:gridCol w:w="9355"/>
      </w:tblGrid>
      <w:tr>
        <w:tc>
          <w:tcPr>
            <w:tcW w:type="dxa" w:w="9355"/>
            <w:shd w:val="clear" w:color="auto" w:fill="EBF3FB"/>
          </w:tcPr>
          <w:p>
            <w:pPr>
              <w:spacing w:before="120" w:after="120"/>
              <w:ind w:left="170"/>
            </w:pPr>
            <w:r>
              <w:rPr>
                <w:i/>
                <w:sz w:val="20"/>
              </w:rPr>
              <w:t>SOP ini mengatur aktivitas proaktif threat hunting menggunakan intelijen ancaman untuk mendeteksi kompromi yang belum terdeteksi.</w:t>
            </w:r>
          </w:p>
        </w:tc>
      </w:tr>
    </w:tbl>
    <w:p>
      <w:pPr>
        <w:spacing w:after="40"/>
      </w:pPr>
    </w:p>
    <w:tbl>
      <w:tblPr>
        <w:tblStyle w:val="TableGrid"/>
        <w:tblW w:type="auto" w:w="0"/>
        <w:tblLook w:firstColumn="1" w:firstRow="1" w:lastColumn="0" w:lastRow="0" w:noHBand="0" w:noVBand="1" w:val="04A0"/>
      </w:tblPr>
      <w:tblGrid>
        <w:gridCol w:w="9355"/>
      </w:tblGrid>
      <w:tr>
        <w:tc>
          <w:tcPr>
            <w:tcW w:type="dxa" w:w="9355"/>
            <w:shd w:val="clear" w:color="auto" w:fill="B85C00"/>
          </w:tcPr>
          <w:p>
            <w:pPr>
              <w:spacing w:before="80" w:after="80"/>
            </w:pPr>
            <w:r>
              <w:rPr>
                <w:b/>
                <w:color w:val="FFFFFF"/>
                <w:sz w:val="20"/>
              </w:rPr>
              <w:t xml:space="preserve">  Langkah 1: PERENCANAAN THREAT HUNT</w:t>
            </w:r>
          </w:p>
        </w:tc>
      </w:tr>
      <w:tr>
        <w:tc>
          <w:tcPr>
            <w:tcW w:type="dxa" w:w="9355"/>
            <w:shd w:val="clear" w:color="auto" w:fill="FFF8F0"/>
          </w:tcPr>
          <w:p>
            <w:pPr>
              <w:spacing w:before="80"/>
              <w:ind w:left="170"/>
            </w:pPr>
            <w:r>
              <w:rPr>
                <w:sz w:val="20"/>
              </w:rPr>
              <w:t>Berdasarkan TI terbaru (threat actor aktif, TTP baru, IOC relevan), buat Threat Hunting Hypothesis: 'Kemungkinan ada malware X yang menggunakan teknik T1053 (Scheduled Task) aktif di environment kami'. Dokumentasikan hipotesis, target sistem, data sources, dan kriteria sukses sebelum mulai hunt.</w:t>
            </w:r>
          </w:p>
          <w:p>
            <w:pPr>
              <w:spacing w:after="80"/>
              <w:ind w:left="170"/>
            </w:pPr>
            <w:r>
              <w:rPr>
                <w:b/>
                <w:color w:val="1F497D"/>
                <w:sz w:val="18"/>
              </w:rPr>
              <w:t xml:space="preserve">👤 SOC Analyst Tier 2/3 + Threat Intel Analyst   </w:t>
            </w:r>
            <w:r>
              <w:rPr>
                <w:color w:val="404040"/>
                <w:sz w:val="18"/>
              </w:rPr>
              <w:t xml:space="preserve">📥 Input: TI Report, IoC, MITRE ATT&amp;CK TTPs   </w:t>
            </w:r>
            <w:r>
              <w:rPr>
                <w:color w:val="404040"/>
                <w:sz w:val="18"/>
              </w:rPr>
              <w:t>📤 Output: Hunt Hypothesis &amp; Plan</w:t>
            </w:r>
          </w:p>
        </w:tc>
      </w:tr>
    </w:tbl>
    <w:p>
      <w:pPr>
        <w:spacing w:after="40"/>
      </w:pPr>
    </w:p>
    <w:tbl>
      <w:tblPr>
        <w:tblStyle w:val="TableGrid"/>
        <w:tblW w:type="auto" w:w="0"/>
        <w:tblLook w:firstColumn="1" w:firstRow="1" w:lastColumn="0" w:lastRow="0" w:noHBand="0" w:noVBand="1" w:val="04A0"/>
      </w:tblPr>
      <w:tblGrid>
        <w:gridCol w:w="9355"/>
      </w:tblGrid>
      <w:tr>
        <w:tc>
          <w:tcPr>
            <w:tcW w:type="dxa" w:w="9355"/>
            <w:shd w:val="clear" w:color="auto" w:fill="B85C00"/>
          </w:tcPr>
          <w:p>
            <w:pPr>
              <w:spacing w:before="80" w:after="80"/>
            </w:pPr>
            <w:r>
              <w:rPr>
                <w:b/>
                <w:color w:val="FFFFFF"/>
                <w:sz w:val="20"/>
              </w:rPr>
              <w:t xml:space="preserve">  Langkah 2: EKSEKUSI THREAT HUNT</w:t>
            </w:r>
          </w:p>
        </w:tc>
      </w:tr>
      <w:tr>
        <w:tc>
          <w:tcPr>
            <w:tcW w:type="dxa" w:w="9355"/>
            <w:shd w:val="clear" w:color="auto" w:fill="FFF8F0"/>
          </w:tcPr>
          <w:p>
            <w:pPr>
              <w:spacing w:before="80"/>
              <w:ind w:left="170"/>
            </w:pPr>
            <w:r>
              <w:rPr>
                <w:sz w:val="20"/>
              </w:rPr>
              <w:t>Jalankan hunt menggunakan SIEM queries, EDR queries, dan network traffic analysis. Cari artefak: proses mencurigakan, koneksi ke C2 yang diketahui, lateral movement patterns, unusual scheduled tasks, PowerShell encoded commands, credential dumping patterns. Dokumentasikan semua temuan, termasuk negatif.</w:t>
            </w:r>
          </w:p>
          <w:p>
            <w:pPr>
              <w:spacing w:after="80"/>
              <w:ind w:left="170"/>
            </w:pPr>
            <w:r>
              <w:rPr>
                <w:b/>
                <w:color w:val="1F497D"/>
                <w:sz w:val="18"/>
              </w:rPr>
              <w:t xml:space="preserve">👤 SOC Analyst Tier 2/3   </w:t>
            </w:r>
            <w:r>
              <w:rPr>
                <w:color w:val="404040"/>
                <w:sz w:val="18"/>
              </w:rPr>
              <w:t xml:space="preserve">📥 Input: Hunt Plan, akses SIEM/EDR/Network logs   </w:t>
            </w:r>
            <w:r>
              <w:rPr>
                <w:color w:val="404040"/>
                <w:sz w:val="18"/>
              </w:rPr>
              <w:t>📤 Output: Hunt Findings (positif/negatif)</w:t>
            </w:r>
          </w:p>
        </w:tc>
      </w:tr>
    </w:tbl>
    <w:p>
      <w:pPr>
        <w:spacing w:after="40"/>
      </w:pPr>
    </w:p>
    <w:tbl>
      <w:tblPr>
        <w:tblStyle w:val="TableGrid"/>
        <w:tblW w:type="auto" w:w="0"/>
        <w:tblLook w:firstColumn="1" w:firstRow="1" w:lastColumn="0" w:lastRow="0" w:noHBand="0" w:noVBand="1" w:val="04A0"/>
      </w:tblPr>
      <w:tblGrid>
        <w:gridCol w:w="9355"/>
      </w:tblGrid>
      <w:tr>
        <w:tc>
          <w:tcPr>
            <w:tcW w:type="dxa" w:w="9355"/>
            <w:shd w:val="clear" w:color="auto" w:fill="B85C00"/>
          </w:tcPr>
          <w:p>
            <w:pPr>
              <w:spacing w:before="80" w:after="80"/>
            </w:pPr>
            <w:r>
              <w:rPr>
                <w:b/>
                <w:color w:val="FFFFFF"/>
                <w:sz w:val="20"/>
              </w:rPr>
              <w:t xml:space="preserve">  Langkah 3: TINDAK LANJUT TEMUAN HUNT</w:t>
            </w:r>
          </w:p>
        </w:tc>
      </w:tr>
      <w:tr>
        <w:tc>
          <w:tcPr>
            <w:tcW w:type="dxa" w:w="9355"/>
            <w:shd w:val="clear" w:color="auto" w:fill="FFF8F0"/>
          </w:tcPr>
          <w:p>
            <w:pPr>
              <w:spacing w:before="80"/>
              <w:ind w:left="170"/>
            </w:pPr>
            <w:r>
              <w:rPr>
                <w:sz w:val="20"/>
              </w:rPr>
              <w:t>Jika ditemukan kompromi: eskalasi ke prosedur Incident Response (ISMS-IRP-001). Jika tidak ditemukan kompromi: dokumentasikan sebagai 'Hunt Completed - No Findings' beserta data sources yang di-cover. Semua findings (positif maupun negatif) berkontribusi pada peningkatan deteksi SIEM. Update detection rules berdasarkan hasil hunt.</w:t>
            </w:r>
          </w:p>
          <w:p>
            <w:pPr>
              <w:spacing w:after="80"/>
              <w:ind w:left="170"/>
            </w:pPr>
            <w:r>
              <w:rPr>
                <w:b/>
                <w:color w:val="1F497D"/>
                <w:sz w:val="18"/>
              </w:rPr>
              <w:t xml:space="preserve">👤 SOC Analyst + IR Team (jika ada kompromi)   </w:t>
            </w:r>
            <w:r>
              <w:rPr>
                <w:color w:val="404040"/>
                <w:sz w:val="18"/>
              </w:rPr>
              <w:t xml:space="preserve">📥 Input: Hunt Findings   </w:t>
            </w:r>
            <w:r>
              <w:rPr>
                <w:color w:val="404040"/>
                <w:sz w:val="18"/>
              </w:rPr>
              <w:t>📤 Output: IR ticket (jika ada kompromi) atau Detection improvement</w:t>
            </w:r>
          </w:p>
        </w:tc>
      </w:tr>
    </w:tbl>
    <w:p>
      <w:pPr>
        <w:spacing w:after="40"/>
      </w:pPr>
    </w:p>
    <w:p/>
    <w:p>
      <w:pPr>
        <w:spacing w:before="200" w:after="120"/>
      </w:pPr>
      <w:r>
        <w:rPr>
          <w:b/>
          <w:color w:val="2E74B5"/>
          <w:sz w:val="24"/>
        </w:rPr>
        <w:t>9. Indikator Kinerja (KPI) Threat Intelligence</w:t>
      </w:r>
    </w:p>
    <w:tbl>
      <w:tblPr>
        <w:tblStyle w:val="TableGrid"/>
        <w:tblW w:type="auto" w:w="0"/>
        <w:tblLook w:firstColumn="1" w:firstRow="1" w:lastColumn="0" w:lastRow="0" w:noHBand="0" w:noVBand="1" w:val="04A0"/>
      </w:tblPr>
      <w:tblGrid>
        <w:gridCol w:w="2339"/>
        <w:gridCol w:w="2339"/>
        <w:gridCol w:w="2339"/>
        <w:gridCol w:w="2339"/>
      </w:tblGrid>
      <w:tr>
        <w:tc>
          <w:tcPr>
            <w:tcW w:type="dxa" w:w="2339"/>
            <w:shd w:val="clear" w:color="auto" w:fill="1F497D"/>
          </w:tcPr>
          <w:p>
            <w:r>
              <w:rPr>
                <w:b/>
                <w:color w:val="FFFFFF"/>
                <w:sz w:val="18"/>
              </w:rPr>
              <w:t>Metrik</w:t>
            </w:r>
          </w:p>
        </w:tc>
        <w:tc>
          <w:tcPr>
            <w:tcW w:type="dxa" w:w="2339"/>
            <w:shd w:val="clear" w:color="auto" w:fill="1F497D"/>
          </w:tcPr>
          <w:p>
            <w:r>
              <w:rPr>
                <w:b/>
                <w:color w:val="FFFFFF"/>
                <w:sz w:val="18"/>
              </w:rPr>
              <w:t>Deskripsi</w:t>
            </w:r>
          </w:p>
        </w:tc>
        <w:tc>
          <w:tcPr>
            <w:tcW w:type="dxa" w:w="2339"/>
            <w:shd w:val="clear" w:color="auto" w:fill="1F497D"/>
          </w:tcPr>
          <w:p>
            <w:r>
              <w:rPr>
                <w:b/>
                <w:color w:val="FFFFFF"/>
                <w:sz w:val="18"/>
              </w:rPr>
              <w:t>Target</w:t>
            </w:r>
          </w:p>
        </w:tc>
        <w:tc>
          <w:tcPr>
            <w:tcW w:type="dxa" w:w="2339"/>
            <w:shd w:val="clear" w:color="auto" w:fill="1F497D"/>
          </w:tcPr>
          <w:p>
            <w:r>
              <w:rPr>
                <w:b/>
                <w:color w:val="FFFFFF"/>
                <w:sz w:val="18"/>
              </w:rPr>
              <w:t>Frekuensi Ukur</w:t>
            </w:r>
          </w:p>
        </w:tc>
      </w:tr>
      <w:tr>
        <w:tc>
          <w:tcPr>
            <w:tcW w:type="dxa" w:w="2339"/>
            <w:shd w:val="clear" w:color="auto" w:fill="DEEAF1"/>
          </w:tcPr>
          <w:p>
            <w:r>
              <w:rPr>
                <w:sz w:val="18"/>
              </w:rPr>
              <w:t>Mean Time to Detect (MTTD) ancaman baru</w:t>
            </w:r>
          </w:p>
        </w:tc>
        <w:tc>
          <w:tcPr>
            <w:tcW w:type="dxa" w:w="2339"/>
            <w:shd w:val="clear" w:color="auto" w:fill="DEEAF1"/>
          </w:tcPr>
          <w:p>
            <w:r>
              <w:rPr>
                <w:sz w:val="18"/>
              </w:rPr>
              <w:t>Waktu dari ancaman muncul hingga TI tersedia</w:t>
            </w:r>
          </w:p>
        </w:tc>
        <w:tc>
          <w:tcPr>
            <w:tcW w:type="dxa" w:w="2339"/>
            <w:shd w:val="clear" w:color="auto" w:fill="DEEAF1"/>
          </w:tcPr>
          <w:p>
            <w:r>
              <w:rPr>
                <w:sz w:val="18"/>
              </w:rPr>
              <w:t>&lt;= 4 jam (kritis), &lt;= 24 jam (standar)</w:t>
            </w:r>
          </w:p>
        </w:tc>
        <w:tc>
          <w:tcPr>
            <w:tcW w:type="dxa" w:w="2339"/>
            <w:shd w:val="clear" w:color="auto" w:fill="DEEAF1"/>
          </w:tcPr>
          <w:p>
            <w:r>
              <w:rPr>
                <w:sz w:val="18"/>
              </w:rPr>
              <w:t>Bulanan</w:t>
            </w:r>
          </w:p>
        </w:tc>
      </w:tr>
      <w:tr>
        <w:tc>
          <w:tcPr>
            <w:tcW w:type="dxa" w:w="2339"/>
            <w:shd w:val="clear" w:color="auto" w:fill="F2F7FB"/>
          </w:tcPr>
          <w:p>
            <w:r>
              <w:rPr>
                <w:sz w:val="18"/>
              </w:rPr>
              <w:t>Cakupan IoC aktif di kontrol keamanan</w:t>
            </w:r>
          </w:p>
        </w:tc>
        <w:tc>
          <w:tcPr>
            <w:tcW w:type="dxa" w:w="2339"/>
            <w:shd w:val="clear" w:color="auto" w:fill="F2F7FB"/>
          </w:tcPr>
          <w:p>
            <w:r>
              <w:rPr>
                <w:sz w:val="18"/>
              </w:rPr>
              <w:t>% IoC confidence High/Med yang sudah di-block</w:t>
            </w:r>
          </w:p>
        </w:tc>
        <w:tc>
          <w:tcPr>
            <w:tcW w:type="dxa" w:w="2339"/>
            <w:shd w:val="clear" w:color="auto" w:fill="F2F7FB"/>
          </w:tcPr>
          <w:p>
            <w:r>
              <w:rPr>
                <w:sz w:val="18"/>
              </w:rPr>
              <w:t>&gt;= 95%</w:t>
            </w:r>
          </w:p>
        </w:tc>
        <w:tc>
          <w:tcPr>
            <w:tcW w:type="dxa" w:w="2339"/>
            <w:shd w:val="clear" w:color="auto" w:fill="F2F7FB"/>
          </w:tcPr>
          <w:p>
            <w:r>
              <w:rPr>
                <w:sz w:val="18"/>
              </w:rPr>
              <w:t>Mingguan</w:t>
            </w:r>
          </w:p>
        </w:tc>
      </w:tr>
      <w:tr>
        <w:tc>
          <w:tcPr>
            <w:tcW w:type="dxa" w:w="2339"/>
            <w:shd w:val="clear" w:color="auto" w:fill="DEEAF1"/>
          </w:tcPr>
          <w:p>
            <w:r>
              <w:rPr>
                <w:sz w:val="18"/>
              </w:rPr>
              <w:t>Jumlah Threat Hunt per kuartal</w:t>
            </w:r>
          </w:p>
        </w:tc>
        <w:tc>
          <w:tcPr>
            <w:tcW w:type="dxa" w:w="2339"/>
            <w:shd w:val="clear" w:color="auto" w:fill="DEEAF1"/>
          </w:tcPr>
          <w:p>
            <w:r>
              <w:rPr>
                <w:sz w:val="18"/>
              </w:rPr>
              <w:t>Aktivitas proaktif hunting berdasarkan TI</w:t>
            </w:r>
          </w:p>
        </w:tc>
        <w:tc>
          <w:tcPr>
            <w:tcW w:type="dxa" w:w="2339"/>
            <w:shd w:val="clear" w:color="auto" w:fill="DEEAF1"/>
          </w:tcPr>
          <w:p>
            <w:r>
              <w:rPr>
                <w:sz w:val="18"/>
              </w:rPr>
              <w:t>&gt;= 2 hunt/kuartal</w:t>
            </w:r>
          </w:p>
        </w:tc>
        <w:tc>
          <w:tcPr>
            <w:tcW w:type="dxa" w:w="2339"/>
            <w:shd w:val="clear" w:color="auto" w:fill="DEEAF1"/>
          </w:tcPr>
          <w:p>
            <w:r>
              <w:rPr>
                <w:sz w:val="18"/>
              </w:rPr>
              <w:t>Kuartalan</w:t>
            </w:r>
          </w:p>
        </w:tc>
      </w:tr>
      <w:tr>
        <w:tc>
          <w:tcPr>
            <w:tcW w:type="dxa" w:w="2339"/>
            <w:shd w:val="clear" w:color="auto" w:fill="F2F7FB"/>
          </w:tcPr>
          <w:p>
            <w:r>
              <w:rPr>
                <w:sz w:val="18"/>
              </w:rPr>
              <w:t>Tingkat false positive IoC</w:t>
            </w:r>
          </w:p>
        </w:tc>
        <w:tc>
          <w:tcPr>
            <w:tcW w:type="dxa" w:w="2339"/>
            <w:shd w:val="clear" w:color="auto" w:fill="F2F7FB"/>
          </w:tcPr>
          <w:p>
            <w:r>
              <w:rPr>
                <w:sz w:val="18"/>
              </w:rPr>
              <w:t>% IoC yang kemudian terbukti false positive</w:t>
            </w:r>
          </w:p>
        </w:tc>
        <w:tc>
          <w:tcPr>
            <w:tcW w:type="dxa" w:w="2339"/>
            <w:shd w:val="clear" w:color="auto" w:fill="F2F7FB"/>
          </w:tcPr>
          <w:p>
            <w:r>
              <w:rPr>
                <w:sz w:val="18"/>
              </w:rPr>
              <w:t>&lt;= 5%</w:t>
            </w:r>
          </w:p>
        </w:tc>
        <w:tc>
          <w:tcPr>
            <w:tcW w:type="dxa" w:w="2339"/>
            <w:shd w:val="clear" w:color="auto" w:fill="F2F7FB"/>
          </w:tcPr>
          <w:p>
            <w:r>
              <w:rPr>
                <w:sz w:val="18"/>
              </w:rPr>
              <w:t>Bulanan</w:t>
            </w:r>
          </w:p>
        </w:tc>
      </w:tr>
      <w:tr>
        <w:tc>
          <w:tcPr>
            <w:tcW w:type="dxa" w:w="2339"/>
            <w:shd w:val="clear" w:color="auto" w:fill="DEEAF1"/>
          </w:tcPr>
          <w:p>
            <w:r>
              <w:rPr>
                <w:sz w:val="18"/>
              </w:rPr>
              <w:t>Laporan TI tepat waktu</w:t>
            </w:r>
          </w:p>
        </w:tc>
        <w:tc>
          <w:tcPr>
            <w:tcW w:type="dxa" w:w="2339"/>
            <w:shd w:val="clear" w:color="auto" w:fill="DEEAF1"/>
          </w:tcPr>
          <w:p>
            <w:r>
              <w:rPr>
                <w:sz w:val="18"/>
              </w:rPr>
              <w:t>% laporan yang diterbitkan sesuai SLA</w:t>
            </w:r>
          </w:p>
        </w:tc>
        <w:tc>
          <w:tcPr>
            <w:tcW w:type="dxa" w:w="2339"/>
            <w:shd w:val="clear" w:color="auto" w:fill="DEEAF1"/>
          </w:tcPr>
          <w:p>
            <w:r>
              <w:rPr>
                <w:sz w:val="18"/>
              </w:rPr>
              <w:t>&gt;= 95%</w:t>
            </w:r>
          </w:p>
        </w:tc>
        <w:tc>
          <w:tcPr>
            <w:tcW w:type="dxa" w:w="2339"/>
            <w:shd w:val="clear" w:color="auto" w:fill="DEEAF1"/>
          </w:tcPr>
          <w:p>
            <w:r>
              <w:rPr>
                <w:sz w:val="18"/>
              </w:rPr>
              <w:t>Bulanan</w:t>
            </w:r>
          </w:p>
        </w:tc>
      </w:tr>
    </w:tbl>
    <w:sectPr w:rsidR="00FC693F" w:rsidRPr="0006063C" w:rsidSect="00034616">
      <w:headerReference w:type="default" r:id="rId9"/>
      <w:footerReference w:type="default" r:id="rId10"/>
      <w:pgSz w:w="11906" w:h="16838"/>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PT Equity Life Indonesia  |  ISMS-TI-001  |  Februari 2026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497D"/>
        <w:sz w:val="16"/>
      </w:rPr>
      <w:t>PT Equity Life Indonesia  |  Kebijakan dan SOP Threat Intelligence  |  ISMS-TI-001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