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A3C6B" w:sz="60" w:space="0"/>
        </w:pBdr>
        <w:shd w:fill="1A3C6B" w:val="clear"/>
        <w:spacing w:before="0" w:after="0"/>
      </w:pPr>
      <w:r>
        <w:rPr>
          <w:sz w:val="60"/>
          <w:szCs w:val="60"/>
        </w:rPr>
        <w:t xml:space="preserve"/>
      </w:r>
    </w:p>
    <w:p>
      <w:pPr>
        <w:spacing w:before="52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A3C6B"/>
          <w:sz w:val="32"/>
          <w:szCs w:val="32"/>
        </w:rPr>
        <w:t xml:space="preserve">PT EQUITY LIFE INDONESIA</w:t>
      </w:r>
    </w:p>
    <w:p>
      <w:pPr>
        <w:spacing w:before="0" w:after="3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Technology &amp; Information Directorate</w:t>
      </w:r>
    </w:p>
    <w:p>
      <w:pPr>
        <w:spacing w:before="160" w:after="0"/>
      </w:pPr>
      <w:r>
        <w:t xml:space="preserve"/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C8A84B"/>
          <w:sz w:val="22"/>
          <w:szCs w:val="22"/>
        </w:rPr>
        <w:t xml:space="preserve">FORMULIR OPERASIONAL</w:t>
      </w:r>
    </w:p>
    <w:p>
      <w:pPr>
        <w:pBdr>
          <w:top w:val="single" w:color="C8A84B" w:sz="4" w:space="4"/>
          <w:bottom w:val="single" w:color="C8A84B" w:sz="4" w:space="4"/>
        </w:pBdr>
        <w:spacing w:before="0" w:after="280"/>
        <w:jc w:val="center"/>
      </w:pPr>
      <w:r>
        <w:rPr>
          <w:rFonts w:ascii="Arial" w:cs="Arial" w:eastAsia="Arial" w:hAnsi="Arial"/>
          <w:b/>
          <w:bCs/>
          <w:color w:val="1A3C6B"/>
          <w:sz w:val="36"/>
          <w:szCs w:val="36"/>
        </w:rPr>
        <w:t xml:space="preserve">Formulir Laporan Insiden Keamanan &amp; Kebocoran Data</w:t>
      </w:r>
    </w:p>
    <w:p>
      <w:pPr>
        <w:spacing w:before="400" w:after="0"/>
      </w:pPr>
      <w:r>
        <w:t xml:space="preserve"/>
      </w:r>
    </w:p>
    <w:tbl>
      <w:tblPr>
        <w:tblW w:type="dxa" w:w="5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</w:tblGrid>
      <w:tr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Kode Dokumen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: ELI-FORM-002</w:t>
            </w:r>
          </w:p>
        </w:tc>
      </w:tr>
      <w:tr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Versi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: Versi 1.0</w:t>
            </w:r>
          </w:p>
        </w:tc>
      </w:tr>
      <w:tr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Tanggal Berlaku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: Maret 2026</w:t>
            </w:r>
          </w:p>
        </w:tc>
      </w:tr>
      <w:tr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Klasifikasi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: RAHASIA — Internal</w:t>
            </w:r>
          </w:p>
        </w:tc>
      </w:tr>
    </w:tbl>
    <w:p>
      <w:pPr>
        <w:spacing w:before="560" w:after="0"/>
      </w:pPr>
      <w:r>
        <w:t xml:space="preserve"/>
      </w:r>
    </w:p>
    <w:p>
      <w:pPr>
        <w:pBdr>
          <w:top w:val="single" w:color="CCCCCC" w:sz="4" w:space="4"/>
        </w:pBdr>
        <w:spacing w:before="0" w:after="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© 2026 PT Equity Life Indonesia. Dokumen ini bersifat rahasia dan hanya untuk penggunaan internal.</w:t>
      </w:r>
    </w:p>
    <w:p>
      <w:r>
        <w:br w:type="page"/>
      </w:r>
    </w:p>
    <w:p>
      <w:pPr>
        <w:pBdr>
          <w:left w:val="single" w:color="C00000" w:sz="16" w:space="8"/>
        </w:pBdr>
        <w:shd w:fill="FFCCCC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Laporkan SEGERA kepada DPO (privacy@equitylife.co.id) dan IT Security dalam 1x24 jam setelah insiden terdeteksi. Jangan menunggu informasi lengkap — laporan awal dengan informasi parsial lebih baik daripada terlambat.</w:t>
      </w:r>
    </w:p>
    <w:p>
      <w:pPr>
        <w:spacing w:before="12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3C6B"/>
          <w:sz w:val="24"/>
          <w:szCs w:val="24"/>
        </w:rPr>
        <w:t xml:space="preserve">FORMULIR LAPORAN INSIDEN KEAMANAN &amp; KEBOCORAN DATA PRIBADI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Nomor Insiden: INC-[YYYY]-[NNN] | Versi Laporan: [1.0 / 1.1 / 2.0]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A. Informasi Dasar Insiden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"/>
        <w:gridCol w:w="6438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Tanggal/Waktu Deteksi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:</w:t>
            </w:r>
          </w:p>
        </w:tc>
        <w:tc>
          <w:tcPr>
            <w:tcW w:type="dxa" w:w="6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(dd/mm/yyyy HH:MM)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Tanggal/Waktu Insiden Terjadi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:</w:t>
            </w:r>
          </w:p>
        </w:tc>
        <w:tc>
          <w:tcPr>
            <w:tcW w:type="dxa" w:w="6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(perkiraan jika tidak diketahui pasti)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Dilaporkan oleh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:</w:t>
            </w:r>
          </w:p>
        </w:tc>
        <w:tc>
          <w:tcPr>
            <w:tcW w:type="dxa" w:w="6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(nama + jabatan)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Unit Kerja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:</w:t>
            </w:r>
          </w:p>
        </w:tc>
        <w:tc>
          <w:tcPr>
            <w:tcW w:type="dxa" w:w="6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Nomor Telepon Pelapor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:</w:t>
            </w:r>
          </w:p>
        </w:tc>
        <w:tc>
          <w:tcPr>
            <w:tcW w:type="dxa" w:w="6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(untuk follow-up)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B. Klasifikasi Insiden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Tingkat keparahan (lingkari):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c>
          <w:tcPr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FCC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P1 — KRITIS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Core system down; data Kelas 1 massal</w:t>
            </w:r>
          </w:p>
        </w:tc>
        <w:tc>
          <w:tcPr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P2 — TINGGI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Credential compromise; data Kelas 1 terbatas</w:t>
            </w:r>
          </w:p>
        </w:tc>
        <w:tc>
          <w:tcPr>
            <w:tcBorders>
              <w:top w:val="single" w:color="7F6000" w:sz="4"/>
              <w:left w:val="single" w:color="7F6000" w:sz="4"/>
              <w:bottom w:val="single" w:color="7F6000" w:sz="4"/>
              <w:right w:val="single" w:color="7F6000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P3 — SEDANG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Malware terisolasi; data Kelas 2/3</w:t>
            </w:r>
          </w:p>
        </w:tc>
        <w:tc>
          <w:tcPr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P4 — RENDAH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Policy violation; data Kelas 3/4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Jenis insiden (centang semua yang berlaku):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r>
            <w:tc>
              <w:tcPr>
                <w:gridSpan w:val="3"/>
                <w:tcBorders>
                  <w:top w:val="single" w:color="CCCCCC" w:sz="4"/>
                  <w:left w:val="single" w:color="CCCCCC" w:sz="4"/>
                  <w:bottom w:val="single" w:color="CCCCCC" w:sz="4"/>
                  <w:right w:val="single" w:color="CCCCCC" w:sz="4"/>
                </w:tcBorders>
                <w:shd w:fill="FFFFFF" w:val="clear"/>
                <w:tcMar>
                  <w:top w:type="dxa" w:w="80"/>
                  <w:left w:type="dxa" w:w="140"/>
                  <w:bottom w:type="dxa" w:w="80"/>
                  <w:right w:type="dxa" w:w="140"/>
                </w:tcMar>
              </w:tcPr>
              <w:p>
                <w:r>
                  <w:rPr>
                    <w:rFonts w:ascii="Arial" w:cs="Arial" w:eastAsia="Arial" w:hAnsi="Arial"/>
                    <w:b/>
                    <w:bCs/>
                    <w:color w:val="1A3C6B"/>
                    <w:sz w:val="20"/>
                    <w:szCs w:val="20"/>
                  </w:rPr>
                  <w:t xml:space="preserve">□  </w:t>
                </w:r>
                <w:r>
                  <w:rPr>
                    <w:rFonts w:ascii="Arial" w:cs="Arial" w:eastAsia="Arial" w:hAnsi="Arial"/>
                    <w:color w:val="404040"/>
                    <w:sz w:val="20"/>
                    <w:szCs w:val="20"/>
                  </w:rPr>
                  <w:t xml:space="preserve">Ransomware / Enkripsi data</w:t>
                </w:r>
              </w:p>
            </w:tc>
          </w:tr>
          <w:tr>
            <w:tc>
              <w:tcPr>
                <w:gridSpan w:val="3"/>
                <w:tcBorders>
                  <w:top w:val="single" w:color="CCCCCC" w:sz="4"/>
                  <w:left w:val="single" w:color="CCCCCC" w:sz="4"/>
                  <w:bottom w:val="single" w:color="CCCCCC" w:sz="4"/>
                  <w:right w:val="single" w:color="CCCCCC" w:sz="4"/>
                </w:tcBorders>
                <w:shd w:fill="FFFFFF" w:val="clear"/>
                <w:tcMar>
                  <w:top w:type="dxa" w:w="80"/>
                  <w:left w:type="dxa" w:w="140"/>
                  <w:bottom w:type="dxa" w:w="80"/>
                  <w:right w:type="dxa" w:w="140"/>
                </w:tcMar>
              </w:tcPr>
              <w:p>
                <w:r>
                  <w:rPr>
                    <w:rFonts w:ascii="Arial" w:cs="Arial" w:eastAsia="Arial" w:hAnsi="Arial"/>
                    <w:b/>
                    <w:bCs/>
                    <w:color w:val="1A3C6B"/>
                    <w:sz w:val="20"/>
                    <w:szCs w:val="20"/>
                  </w:rPr>
                  <w:t xml:space="preserve">□  </w:t>
                </w:r>
                <w:r>
                  <w:rPr>
                    <w:rFonts w:ascii="Arial" w:cs="Arial" w:eastAsia="Arial" w:hAnsi="Arial"/>
                    <w:color w:val="404040"/>
                    <w:sz w:val="20"/>
                    <w:szCs w:val="20"/>
                  </w:rPr>
                  <w:t xml:space="preserve">Phishing / Social Engineering</w:t>
                </w:r>
              </w:p>
            </w:tc>
          </w:tr>
          <w:tr>
            <w:tc>
              <w:tcPr>
                <w:gridSpan w:val="3"/>
                <w:tcBorders>
                  <w:top w:val="single" w:color="CCCCCC" w:sz="4"/>
                  <w:left w:val="single" w:color="CCCCCC" w:sz="4"/>
                  <w:bottom w:val="single" w:color="CCCCCC" w:sz="4"/>
                  <w:right w:val="single" w:color="CCCCCC" w:sz="4"/>
                </w:tcBorders>
                <w:shd w:fill="FFFFFF" w:val="clear"/>
                <w:tcMar>
                  <w:top w:type="dxa" w:w="80"/>
                  <w:left w:type="dxa" w:w="140"/>
                  <w:bottom w:type="dxa" w:w="80"/>
                  <w:right w:type="dxa" w:w="140"/>
                </w:tcMar>
              </w:tcPr>
              <w:p>
                <w:r>
                  <w:rPr>
                    <w:rFonts w:ascii="Arial" w:cs="Arial" w:eastAsia="Arial" w:hAnsi="Arial"/>
                    <w:b/>
                    <w:bCs/>
                    <w:color w:val="1A3C6B"/>
                    <w:sz w:val="20"/>
                    <w:szCs w:val="20"/>
                  </w:rPr>
                  <w:t xml:space="preserve">□  </w:t>
                </w:r>
                <w:r>
                  <w:rPr>
                    <w:rFonts w:ascii="Arial" w:cs="Arial" w:eastAsia="Arial" w:hAnsi="Arial"/>
                    <w:color w:val="404040"/>
                    <w:sz w:val="20"/>
                    <w:szCs w:val="20"/>
                  </w:rPr>
                  <w:t xml:space="preserve">Akses tidak terotorisasi ke sistem</w:t>
                </w:r>
              </w:p>
            </w:tc>
          </w:tr>
          <w:tr>
            <w:tc>
              <w:tcPr>
                <w:gridSpan w:val="3"/>
                <w:tcBorders>
                  <w:top w:val="single" w:color="CCCCCC" w:sz="4"/>
                  <w:left w:val="single" w:color="CCCCCC" w:sz="4"/>
                  <w:bottom w:val="single" w:color="CCCCCC" w:sz="4"/>
                  <w:right w:val="single" w:color="CCCCCC" w:sz="4"/>
                </w:tcBorders>
                <w:shd w:fill="FFFFFF" w:val="clear"/>
                <w:tcMar>
                  <w:top w:type="dxa" w:w="80"/>
                  <w:left w:type="dxa" w:w="140"/>
                  <w:bottom w:type="dxa" w:w="80"/>
                  <w:right w:type="dxa" w:w="140"/>
                </w:tcMar>
              </w:tcPr>
              <w:p>
                <w:r>
                  <w:rPr>
                    <w:rFonts w:ascii="Arial" w:cs="Arial" w:eastAsia="Arial" w:hAnsi="Arial"/>
                    <w:b/>
                    <w:bCs/>
                    <w:color w:val="1A3C6B"/>
                    <w:sz w:val="20"/>
                    <w:szCs w:val="20"/>
                  </w:rPr>
                  <w:t xml:space="preserve">□  </w:t>
                </w:r>
                <w:r>
                  <w:rPr>
                    <w:rFonts w:ascii="Arial" w:cs="Arial" w:eastAsia="Arial" w:hAnsi="Arial"/>
                    <w:color w:val="404040"/>
                    <w:sz w:val="20"/>
                    <w:szCs w:val="20"/>
                  </w:rPr>
                  <w:t xml:space="preserve">Kebocoran data melalui email / cloud</w:t>
                </w:r>
              </w:p>
            </w:tc>
          </w:tr>
          <w:p/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r>
            <w:tc>
              <w:tcPr>
                <w:gridSpan w:val="3"/>
                <w:tcBorders>
                  <w:top w:val="single" w:color="CCCCCC" w:sz="4"/>
                  <w:left w:val="single" w:color="CCCCCC" w:sz="4"/>
                  <w:bottom w:val="single" w:color="CCCCCC" w:sz="4"/>
                  <w:right w:val="single" w:color="CCCCCC" w:sz="4"/>
                </w:tcBorders>
                <w:shd w:fill="FFFFFF" w:val="clear"/>
                <w:tcMar>
                  <w:top w:type="dxa" w:w="80"/>
                  <w:left w:type="dxa" w:w="140"/>
                  <w:bottom w:type="dxa" w:w="80"/>
                  <w:right w:type="dxa" w:w="140"/>
                </w:tcMar>
              </w:tcPr>
              <w:p>
                <w:r>
                  <w:rPr>
                    <w:rFonts w:ascii="Arial" w:cs="Arial" w:eastAsia="Arial" w:hAnsi="Arial"/>
                    <w:b/>
                    <w:bCs/>
                    <w:color w:val="1A3C6B"/>
                    <w:sz w:val="20"/>
                    <w:szCs w:val="20"/>
                  </w:rPr>
                  <w:t xml:space="preserve">□  </w:t>
                </w:r>
                <w:r>
                  <w:rPr>
                    <w:rFonts w:ascii="Arial" w:cs="Arial" w:eastAsia="Arial" w:hAnsi="Arial"/>
                    <w:color w:val="404040"/>
                    <w:sz w:val="20"/>
                    <w:szCs w:val="20"/>
                  </w:rPr>
                  <w:t xml:space="preserve">Pencurian perangkat (laptop/HP)</w:t>
                </w:r>
              </w:p>
            </w:tc>
          </w:tr>
          <w:tr>
            <w:tc>
              <w:tcPr>
                <w:gridSpan w:val="3"/>
                <w:tcBorders>
                  <w:top w:val="single" w:color="CCCCCC" w:sz="4"/>
                  <w:left w:val="single" w:color="CCCCCC" w:sz="4"/>
                  <w:bottom w:val="single" w:color="CCCCCC" w:sz="4"/>
                  <w:right w:val="single" w:color="CCCCCC" w:sz="4"/>
                </w:tcBorders>
                <w:shd w:fill="FFFFFF" w:val="clear"/>
                <w:tcMar>
                  <w:top w:type="dxa" w:w="80"/>
                  <w:left w:type="dxa" w:w="140"/>
                  <w:bottom w:type="dxa" w:w="80"/>
                  <w:right w:type="dxa" w:w="140"/>
                </w:tcMar>
              </w:tcPr>
              <w:p>
                <w:r>
                  <w:rPr>
                    <w:rFonts w:ascii="Arial" w:cs="Arial" w:eastAsia="Arial" w:hAnsi="Arial"/>
                    <w:b/>
                    <w:bCs/>
                    <w:color w:val="1A3C6B"/>
                    <w:sz w:val="20"/>
                    <w:szCs w:val="20"/>
                  </w:rPr>
                  <w:t xml:space="preserve">□  </w:t>
                </w:r>
                <w:r>
                  <w:rPr>
                    <w:rFonts w:ascii="Arial" w:cs="Arial" w:eastAsia="Arial" w:hAnsi="Arial"/>
                    <w:color w:val="404040"/>
                    <w:sz w:val="20"/>
                    <w:szCs w:val="20"/>
                  </w:rPr>
                  <w:t xml:space="preserve">Pelanggaran kebijakan oleh karyawan</w:t>
                </w:r>
              </w:p>
            </w:tc>
          </w:tr>
          <w:tr>
            <w:tc>
              <w:tcPr>
                <w:gridSpan w:val="3"/>
                <w:tcBorders>
                  <w:top w:val="single" w:color="CCCCCC" w:sz="4"/>
                  <w:left w:val="single" w:color="CCCCCC" w:sz="4"/>
                  <w:bottom w:val="single" w:color="CCCCCC" w:sz="4"/>
                  <w:right w:val="single" w:color="CCCCCC" w:sz="4"/>
                </w:tcBorders>
                <w:shd w:fill="FFFFFF" w:val="clear"/>
                <w:tcMar>
                  <w:top w:type="dxa" w:w="80"/>
                  <w:left w:type="dxa" w:w="140"/>
                  <w:bottom w:type="dxa" w:w="80"/>
                  <w:right w:type="dxa" w:w="140"/>
                </w:tcMar>
              </w:tcPr>
              <w:p>
                <w:r>
                  <w:rPr>
                    <w:rFonts w:ascii="Arial" w:cs="Arial" w:eastAsia="Arial" w:hAnsi="Arial"/>
                    <w:b/>
                    <w:bCs/>
                    <w:color w:val="1A3C6B"/>
                    <w:sz w:val="20"/>
                    <w:szCs w:val="20"/>
                  </w:rPr>
                  <w:t xml:space="preserve">□  </w:t>
                </w:r>
                <w:r>
                  <w:rPr>
                    <w:rFonts w:ascii="Arial" w:cs="Arial" w:eastAsia="Arial" w:hAnsi="Arial"/>
                    <w:color w:val="404040"/>
                    <w:sz w:val="20"/>
                    <w:szCs w:val="20"/>
                  </w:rPr>
                  <w:t xml:space="preserve">Serangan DDoS</w:t>
                </w:r>
              </w:p>
            </w:tc>
          </w:tr>
          <w:tr>
            <w:tc>
              <w:tcPr>
                <w:gridSpan w:val="3"/>
                <w:tcBorders>
                  <w:top w:val="single" w:color="CCCCCC" w:sz="4"/>
                  <w:left w:val="single" w:color="CCCCCC" w:sz="4"/>
                  <w:bottom w:val="single" w:color="CCCCCC" w:sz="4"/>
                  <w:right w:val="single" w:color="CCCCCC" w:sz="4"/>
                </w:tcBorders>
                <w:shd w:fill="FFFFFF" w:val="clear"/>
                <w:tcMar>
                  <w:top w:type="dxa" w:w="80"/>
                  <w:left w:type="dxa" w:w="140"/>
                  <w:bottom w:type="dxa" w:w="80"/>
                  <w:right w:type="dxa" w:w="140"/>
                </w:tcMar>
              </w:tcPr>
              <w:p>
                <w:r>
                  <w:rPr>
                    <w:rFonts w:ascii="Arial" w:cs="Arial" w:eastAsia="Arial" w:hAnsi="Arial"/>
                    <w:b/>
                    <w:bCs/>
                    <w:color w:val="1A3C6B"/>
                    <w:sz w:val="20"/>
                    <w:szCs w:val="20"/>
                  </w:rPr>
                  <w:t xml:space="preserve">□  </w:t>
                </w:r>
                <w:r>
                  <w:rPr>
                    <w:rFonts w:ascii="Arial" w:cs="Arial" w:eastAsia="Arial" w:hAnsi="Arial"/>
                    <w:color w:val="404040"/>
                    <w:sz w:val="20"/>
                    <w:szCs w:val="20"/>
                  </w:rPr>
                  <w:t xml:space="preserve">Lainnya</w:t>
                </w:r>
              </w:p>
            </w:tc>
          </w:tr>
          <w:p/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C. Deskripsi Insiden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"/>
        <w:gridCol w:w="6438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Deskripsi singkat insiden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:</w:t>
            </w:r>
          </w:p>
        </w:tc>
        <w:tc>
          <w:tcPr>
            <w:tcW w:type="dxa" w:w="6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(apa yang terjadi)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Sistem/aplikasi yang terdampak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:</w:t>
            </w:r>
          </w:p>
        </w:tc>
        <w:tc>
          <w:tcPr>
            <w:tcW w:type="dxa" w:w="6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(nama sistem)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Apakah data pribadi terdampak?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:</w:t>
            </w:r>
          </w:p>
        </w:tc>
        <w:tc>
          <w:tcPr>
            <w:tcW w:type="dxa" w:w="6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(Ya / Tidak / Belum diketahui)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Kategori data yang terekspos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:</w:t>
            </w:r>
          </w:p>
        </w:tc>
        <w:tc>
          <w:tcPr>
            <w:tcW w:type="dxa" w:w="6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(Kelas 1/2/3/4 — jenis data)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Perkiraan jumlah subjek data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:</w:t>
            </w:r>
          </w:p>
        </w:tc>
        <w:tc>
          <w:tcPr>
            <w:tcW w:type="dxa" w:w="6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(angka atau estimasi)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Tindakan awal yang sudah diambil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:</w:t>
            </w:r>
          </w:p>
        </w:tc>
        <w:tc>
          <w:tcPr>
            <w:tcW w:type="dxa" w:w="6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(containment yang sudah dilakukan)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Apakah attacker masih aktif?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:</w:t>
            </w:r>
          </w:p>
        </w:tc>
        <w:tc>
          <w:tcPr>
            <w:tcW w:type="dxa" w:w="6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(Ya / Tidak / Tidak diketahui)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D. Eskalasi &amp; Tindak Lanjut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"/>
        <w:gridCol w:w="6438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DPO dinotifikasi pada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:</w:t>
            </w:r>
          </w:p>
        </w:tc>
        <w:tc>
          <w:tcPr>
            <w:tcW w:type="dxa" w:w="6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(dd/mm/yyyy HH:MM)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Direktur T&amp;I dinotifikasi pada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:</w:t>
            </w:r>
          </w:p>
        </w:tc>
        <w:tc>
          <w:tcPr>
            <w:tcW w:type="dxa" w:w="6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(dd/mm/yyyy HH:MM — untuk P1/P2)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War Room diaktifkan?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:</w:t>
            </w:r>
          </w:p>
        </w:tc>
        <w:tc>
          <w:tcPr>
            <w:tcW w:type="dxa" w:w="6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(Ya / Tidak)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Incident Commander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:</w:t>
            </w:r>
          </w:p>
        </w:tc>
        <w:tc>
          <w:tcPr>
            <w:tcW w:type="dxa" w:w="6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(nama)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Target notifikasi OJK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:</w:t>
            </w:r>
          </w:p>
        </w:tc>
        <w:tc>
          <w:tcPr>
            <w:tcW w:type="dxa" w:w="6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(maks 14 hari dari konfirmasi)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Apakah OJK sudah dinotifikasi?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:</w:t>
            </w:r>
          </w:p>
        </w:tc>
        <w:tc>
          <w:tcPr>
            <w:tcW w:type="dxa" w:w="6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(Ya (tanggal: ___) / Belum / Tidak diperlukan)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E. Tanda Tangan</w:t>
      </w:r>
    </w:p>
    <w:p>
      <w:pPr>
        <w:spacing w:before="12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Pelapor</w:t>
            </w:r>
          </w:p>
          <w:p>
            <w:pPr>
              <w:spacing w:before="480"/>
              <w:jc w:val="center"/>
            </w:pPr>
            <w:r>
              <w:rPr>
                <w:color w:val="CCCCCC"/>
              </w:rPr>
              <w:t xml:space="preserve">___________________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Tanggal: ____________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DPO</w:t>
            </w:r>
          </w:p>
          <w:p>
            <w:pPr>
              <w:spacing w:before="480"/>
              <w:jc w:val="center"/>
            </w:pPr>
            <w:r>
              <w:rPr>
                <w:color w:val="CCCCCC"/>
              </w:rPr>
              <w:t xml:space="preserve">___________________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Tanggal: ____________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Incident Commander</w:t>
            </w:r>
          </w:p>
          <w:p>
            <w:pPr>
              <w:spacing w:before="480"/>
              <w:jc w:val="center"/>
            </w:pPr>
            <w:r>
              <w:rPr>
                <w:color w:val="CCCCCC"/>
              </w:rPr>
              <w:t xml:space="preserve">___________________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Tanggal: ____________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spacing w:before="60"/>
    </w:pPr>
    <w:r>
      <w:rPr>
        <w:rFonts w:ascii="Arial" w:cs="Arial" w:eastAsia="Arial" w:hAnsi="Arial"/>
        <w:color w:val="666666"/>
        <w:sz w:val="16"/>
        <w:szCs w:val="16"/>
      </w:rPr>
      <w:t xml:space="preserve">Rahasia — Internal  |  PT Equity Life Indonesia  |  UU PDP &amp; ISO 27701:2019 —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264"/>
      <w:gridCol w:w="3373"/>
    </w:tblGrid>
    <w:tr>
      <w:tc>
        <w:tcPr>
          <w:tcW w:type="dxa" w:w="6264"/>
          <w:tcBorders>
            <w:top w:val="none" w:color="FFFFFF" w:sz="0"/>
            <w:left w:val="none" w:color="FFFFFF" w:sz="0"/>
            <w:bottom w:val="single" w:color="1A3C6B" w:sz="6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1A3C6B"/>
              <w:sz w:val="18"/>
              <w:szCs w:val="18"/>
            </w:rPr>
            <w:t xml:space="preserve">PT Equity Life Indonesia</w:t>
          </w:r>
        </w:p>
        <w:p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Formulir Laporan Insiden Keamanan &amp; Kebocoran Data</w:t>
          </w:r>
        </w:p>
      </w:tc>
      <w:tc>
        <w:tcPr>
          <w:tcW w:type="dxa" w:w="3373"/>
          <w:tcBorders>
            <w:top w:val="none" w:color="FFFFFF" w:sz="0"/>
            <w:left w:val="none" w:color="FFFFFF" w:sz="0"/>
            <w:bottom w:val="single" w:color="1A3C6B" w:sz="6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ELI-FORM-002</w:t>
          </w:r>
        </w:p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Versi 1.0 |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rFonts w:ascii="Arial" w:cs="Arial" w:eastAsia="Arial" w:hAnsi="Arial"/>
      <w:b/>
      <w:bCs/>
      <w:color w:val="1A3C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rFonts w:ascii="Arial" w:cs="Arial" w:eastAsia="Arial" w:hAnsi="Arial"/>
      <w:b/>
      <w:bCs/>
      <w:color w:val="2563A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2026-03-21T17:22:32.664Z</dcterms:created>
  <dcterms:modified xsi:type="dcterms:W3CDTF">2026-03-21T17:22:32.664Z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