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PROGRAM MANAGEMENT</w:t>
      </w:r>
    </w:p>
    <w:p>
      <w:pPr>
        <w:pBdr>
          <w:top w:val="single" w:color="C8A84B" w:sz="4" w:space="4"/>
          <w:bottom w:val="single" w:color="C8A84B" w:sz="4" w:space="4"/>
        </w:pBdr>
        <w:spacing w:before="0" w:after="240"/>
        <w:jc w:val="center"/>
      </w:pPr>
      <w:r>
        <w:rPr>
          <w:rFonts w:ascii="Arial" w:cs="Arial" w:eastAsia="Arial" w:hAnsi="Arial"/>
          <w:b/>
          <w:bCs/>
          <w:color w:val="1A3C6B"/>
          <w:sz w:val="40"/>
          <w:szCs w:val="40"/>
        </w:rPr>
        <w:t xml:space="preserve">Rencana Kerja Implementasi UU PDP &amp; ISO 27701:2019</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ELI-PDPISO27701-001</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Pendahuluan</w:t>
      </w:r>
    </w:p>
    <w:p>
      <w:pPr>
        <w:pStyle w:val="Heading2"/>
        <w:spacing w:before="220" w:after="100"/>
      </w:pPr>
      <w:r>
        <w:rPr>
          <w:rFonts w:ascii="Arial" w:cs="Arial" w:eastAsia="Arial" w:hAnsi="Arial"/>
          <w:b/>
          <w:bCs/>
          <w:color w:val="2563A8"/>
          <w:sz w:val="26"/>
          <w:szCs w:val="26"/>
        </w:rPr>
        <w:t xml:space="preserve">1.1 Latar Belakang</w:t>
      </w:r>
    </w:p>
    <w:p>
      <w:pPr>
        <w:spacing w:before="60" w:after="60"/>
      </w:pPr>
      <w:r>
        <w:rPr>
          <w:rFonts w:ascii="Arial" w:cs="Arial" w:eastAsia="Arial" w:hAnsi="Arial"/>
          <w:color w:val="404040"/>
          <w:sz w:val="20"/>
          <w:szCs w:val="20"/>
        </w:rPr>
        <w:t xml:space="preserve">PT Equity Life Indonesia sebagai perusahaan asuransi jiwa memproses data pribadi nasabah dalam jumlah besar, termasuk data kesehatan (data pribadi spesifik) sebagaimana dimaksud dalam Undang-Undang Nomor 27 Tahun 2022 tentang Perlindungan Data Pribadi (UU PDP). Pemberlakuan penuh UU PDP menjadikan kepatuhan terhadap ketentuan perlindungan data sebagai kewajiban hukum yang jika dilanggar dapat mengakibatkan sanksi administratif, pidana, dan reputasi.</w:t>
      </w:r>
    </w:p>
    <w:p>
      <w:pPr>
        <w:spacing w:before="60" w:after="60"/>
      </w:pPr>
      <w:r>
        <w:rPr>
          <w:rFonts w:ascii="Arial" w:cs="Arial" w:eastAsia="Arial" w:hAnsi="Arial"/>
          <w:color w:val="404040"/>
          <w:sz w:val="20"/>
          <w:szCs w:val="20"/>
        </w:rPr>
        <w:t xml:space="preserve">Bersamaan dengan itu, PT Equity Life Indonesia berkomitmen untuk mengimplementasikan ISO 27701:2019 — standar internasional manajemen privasi informasi (Privacy Information Management System/PIMS) — sebagai kerangka kerja teknis yang terintegrasi dengan sistem manajemen keamanan informasi (ISMS) berbasis ISO 27001:2022 yang telah berjalan.</w:t>
      </w:r>
    </w:p>
    <w:p>
      <w:pPr>
        <w:pStyle w:val="Heading2"/>
        <w:spacing w:before="220" w:after="100"/>
      </w:pPr>
      <w:r>
        <w:rPr>
          <w:rFonts w:ascii="Arial" w:cs="Arial" w:eastAsia="Arial" w:hAnsi="Arial"/>
          <w:b/>
          <w:bCs/>
          <w:color w:val="2563A8"/>
          <w:sz w:val="26"/>
          <w:szCs w:val="26"/>
        </w:rPr>
        <w:t xml:space="preserve">1.2 Tujuan</w:t>
      </w:r>
    </w:p>
    <w:p>
      <w:pPr>
        <w:pStyle w:val="ListParagraph"/>
        <w:numPr>
          <w:ilvl w:val="0"/>
          <w:numId w:val="2"/>
        </w:numPr>
        <w:spacing w:before="40" w:after="40"/>
      </w:pPr>
      <w:r>
        <w:rPr>
          <w:rFonts w:ascii="Arial" w:cs="Arial" w:eastAsia="Arial" w:hAnsi="Arial"/>
          <w:color w:val="404040"/>
          <w:sz w:val="20"/>
          <w:szCs w:val="20"/>
        </w:rPr>
        <w:t xml:space="preserve">Menetapkan kerangka kerja, jadwal, dan tanggung jawab implementasi UU PDP dan ISO 27701:2019 di seluruh unit kerja PT Equity Life Indonesia.</w:t>
      </w:r>
    </w:p>
    <w:p>
      <w:pPr>
        <w:pStyle w:val="ListParagraph"/>
        <w:numPr>
          <w:ilvl w:val="0"/>
          <w:numId w:val="2"/>
        </w:numPr>
        <w:spacing w:before="40" w:after="40"/>
      </w:pPr>
      <w:r>
        <w:rPr>
          <w:rFonts w:ascii="Arial" w:cs="Arial" w:eastAsia="Arial" w:hAnsi="Arial"/>
          <w:color w:val="404040"/>
          <w:sz w:val="20"/>
          <w:szCs w:val="20"/>
        </w:rPr>
        <w:t xml:space="preserve">Memastikan kepatuhan perusahaan terhadap seluruh kewajiban pengendali data (PII Controller) sebagaimana diatur dalam UU PDP.</w:t>
      </w:r>
    </w:p>
    <w:p>
      <w:pPr>
        <w:pStyle w:val="ListParagraph"/>
        <w:numPr>
          <w:ilvl w:val="0"/>
          <w:numId w:val="2"/>
        </w:numPr>
        <w:spacing w:before="40" w:after="40"/>
      </w:pPr>
      <w:r>
        <w:rPr>
          <w:rFonts w:ascii="Arial" w:cs="Arial" w:eastAsia="Arial" w:hAnsi="Arial"/>
          <w:color w:val="404040"/>
          <w:sz w:val="20"/>
          <w:szCs w:val="20"/>
        </w:rPr>
        <w:t xml:space="preserve">Mengintegrasikan persyaratan privasi ke dalam sistem manajemen yang sudah berjalan (ISMS ISO 27001:2022).</w:t>
      </w:r>
    </w:p>
    <w:p>
      <w:pPr>
        <w:pStyle w:val="ListParagraph"/>
        <w:numPr>
          <w:ilvl w:val="0"/>
          <w:numId w:val="2"/>
        </w:numPr>
        <w:spacing w:before="40" w:after="40"/>
      </w:pPr>
      <w:r>
        <w:rPr>
          <w:rFonts w:ascii="Arial" w:cs="Arial" w:eastAsia="Arial" w:hAnsi="Arial"/>
          <w:color w:val="404040"/>
          <w:sz w:val="20"/>
          <w:szCs w:val="20"/>
        </w:rPr>
        <w:t xml:space="preserve">Memitigasi risiko sanksi regulasi, gugatan hukum, dan kerusakan reputasi akibat ketidakpatuhan perlindungan data.</w:t>
      </w:r>
    </w:p>
    <w:p>
      <w:pPr>
        <w:pStyle w:val="Heading2"/>
        <w:spacing w:before="220" w:after="100"/>
      </w:pPr>
      <w:r>
        <w:rPr>
          <w:rFonts w:ascii="Arial" w:cs="Arial" w:eastAsia="Arial" w:hAnsi="Arial"/>
          <w:b/>
          <w:bCs/>
          <w:color w:val="2563A8"/>
          <w:sz w:val="26"/>
          <w:szCs w:val="26"/>
        </w:rPr>
        <w:t xml:space="preserve">1.3 Ruang Lingkup</w:t>
      </w:r>
    </w:p>
    <w:p>
      <w:pPr>
        <w:spacing w:before="60" w:after="60"/>
      </w:pPr>
      <w:r>
        <w:rPr>
          <w:rFonts w:ascii="Arial" w:cs="Arial" w:eastAsia="Arial" w:hAnsi="Arial"/>
          <w:color w:val="404040"/>
          <w:sz w:val="20"/>
          <w:szCs w:val="20"/>
        </w:rPr>
        <w:t xml:space="preserve">Rencana kerja ini mencakup seluruh unit kerja PT Equity Life Indonesia yang terlibat dalam pemrosesan data pribadi nasabah, agen, karyawan, mitra bisnis, dan pemangku kepentingan lainnya, meliputi:</w:t>
      </w:r>
    </w:p>
    <w:p>
      <w:pPr>
        <w:pStyle w:val="ListParagraph"/>
        <w:numPr>
          <w:ilvl w:val="0"/>
          <w:numId w:val="2"/>
        </w:numPr>
        <w:spacing w:before="40" w:after="40"/>
      </w:pPr>
      <w:r>
        <w:rPr>
          <w:rFonts w:ascii="Arial" w:cs="Arial" w:eastAsia="Arial" w:hAnsi="Arial"/>
          <w:color w:val="404040"/>
          <w:sz w:val="20"/>
          <w:szCs w:val="20"/>
        </w:rPr>
        <w:t xml:space="preserve">Technology &amp; Information Directorate (koordinator utama)</w:t>
      </w:r>
    </w:p>
    <w:p>
      <w:pPr>
        <w:pStyle w:val="ListParagraph"/>
        <w:numPr>
          <w:ilvl w:val="0"/>
          <w:numId w:val="2"/>
        </w:numPr>
        <w:spacing w:before="40" w:after="40"/>
      </w:pPr>
      <w:r>
        <w:rPr>
          <w:rFonts w:ascii="Arial" w:cs="Arial" w:eastAsia="Arial" w:hAnsi="Arial"/>
          <w:color w:val="404040"/>
          <w:sz w:val="20"/>
          <w:szCs w:val="20"/>
        </w:rPr>
        <w:t xml:space="preserve">Operation Directorate (pemrosesan polis, klaim, dan data nasabah)</w:t>
      </w:r>
    </w:p>
    <w:p>
      <w:pPr>
        <w:pStyle w:val="ListParagraph"/>
        <w:numPr>
          <w:ilvl w:val="0"/>
          <w:numId w:val="2"/>
        </w:numPr>
        <w:spacing w:before="40" w:after="40"/>
      </w:pPr>
      <w:r>
        <w:rPr>
          <w:rFonts w:ascii="Arial" w:cs="Arial" w:eastAsia="Arial" w:hAnsi="Arial"/>
          <w:color w:val="404040"/>
          <w:sz w:val="20"/>
          <w:szCs w:val="20"/>
        </w:rPr>
        <w:t xml:space="preserve">Business Directorate (distribusi, keagenan, dan akuisisi digital)</w:t>
      </w:r>
    </w:p>
    <w:p>
      <w:pPr>
        <w:pStyle w:val="ListParagraph"/>
        <w:numPr>
          <w:ilvl w:val="0"/>
          <w:numId w:val="2"/>
        </w:numPr>
        <w:spacing w:before="40" w:after="40"/>
      </w:pPr>
      <w:r>
        <w:rPr>
          <w:rFonts w:ascii="Arial" w:cs="Arial" w:eastAsia="Arial" w:hAnsi="Arial"/>
          <w:color w:val="404040"/>
          <w:sz w:val="20"/>
          <w:szCs w:val="20"/>
        </w:rPr>
        <w:t xml:space="preserve">Finance &amp; Investment Directorate (data keuangan dan aktuaria)</w:t>
      </w:r>
    </w:p>
    <w:p>
      <w:pPr>
        <w:pStyle w:val="ListParagraph"/>
        <w:numPr>
          <w:ilvl w:val="0"/>
          <w:numId w:val="2"/>
        </w:numPr>
        <w:spacing w:before="40" w:after="40"/>
      </w:pPr>
      <w:r>
        <w:rPr>
          <w:rFonts w:ascii="Arial" w:cs="Arial" w:eastAsia="Arial" w:hAnsi="Arial"/>
          <w:color w:val="404040"/>
          <w:sz w:val="20"/>
          <w:szCs w:val="20"/>
        </w:rPr>
        <w:t xml:space="preserve">Human Capital Directorate (data karyawan)</w:t>
      </w:r>
    </w:p>
    <w:p>
      <w:pPr>
        <w:pStyle w:val="ListParagraph"/>
        <w:numPr>
          <w:ilvl w:val="0"/>
          <w:numId w:val="2"/>
        </w:numPr>
        <w:spacing w:before="40" w:after="40"/>
      </w:pPr>
      <w:r>
        <w:rPr>
          <w:rFonts w:ascii="Arial" w:cs="Arial" w:eastAsia="Arial" w:hAnsi="Arial"/>
          <w:color w:val="404040"/>
          <w:sz w:val="20"/>
          <w:szCs w:val="20"/>
        </w:rPr>
        <w:t xml:space="preserve">Compliance Directorate (kepatuhan regulasi dan manajemen risiko)</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2. Struktur Tata Kelola Implementasi</w:t>
      </w:r>
    </w:p>
    <w:p>
      <w:pPr>
        <w:pStyle w:val="Heading2"/>
        <w:spacing w:before="220" w:after="100"/>
      </w:pPr>
      <w:r>
        <w:rPr>
          <w:rFonts w:ascii="Arial" w:cs="Arial" w:eastAsia="Arial" w:hAnsi="Arial"/>
          <w:b/>
          <w:bCs/>
          <w:color w:val="2563A8"/>
          <w:sz w:val="26"/>
          <w:szCs w:val="26"/>
        </w:rPr>
        <w:t xml:space="preserve">2.1 Komite Pengarah Program</w:t>
      </w:r>
    </w:p>
    <w:p>
      <w:pPr>
        <w:spacing w:before="60" w:after="60"/>
      </w:pPr>
      <w:r>
        <w:rPr>
          <w:rFonts w:ascii="Arial" w:cs="Arial" w:eastAsia="Arial" w:hAnsi="Arial"/>
          <w:color w:val="404040"/>
          <w:sz w:val="20"/>
          <w:szCs w:val="20"/>
        </w:rPr>
        <w:t xml:space="preserve">Program implementasi UU PDP &amp; ISO 27701 dikelola oleh struktur tata kelola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Jabatan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Tanggung Jawab</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Program Sponsor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President Director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Persetujuan anggaran, arahan strategis, akuntabilitas regulasi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Program Owner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Direktur Technology &amp; Information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Kepemimpinan program, pelaporan kepada Direksi dan OJK</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Protection Officer (DPO)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Ditunjuk melalui SK Direksi (lihat dokumen ELI-PDPISO27701-003)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Pengawasan kepatuhan UU PDP, penghubung dengan regulator, penanganan hak subjek data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Program Manager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Governance &amp; Security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Koordinasi harian, pemantauan kemajuan, pelaporan status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Privacy Champions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PIC di setiap Direktorat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Implementasi kontrol privasi di unit kerja masing-masing</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2.2 Unit Kerja dan Peran Kunci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Kerja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Peran dalam Program</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Utama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IT Security &amp; Governance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Lead implementasi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Kebijakan privasi, DPIA, pengelolaan hak subjek data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Legal &amp; Compliance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Kepatuhan hukum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Review kebijakan, DPA, komunikasi regulator</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Management &amp; Data Analysis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Inventarisasi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RoPA, klasifikasi data, kebijakan retensi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(Klaim, NB, CS)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Operasional pemrosesan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Implementasi kontrol di proses klaim dan penerbitan polis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Digital Solution Development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Implementasi teknis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Privacy by design, consent management, portal hak subjek data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Human Capital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Program awareness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Pelatihan privasi, kebijakan MSDM berbasis privasi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Risk Management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Manajemen risiko privasi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Privacy risk register, DPIA review</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3. Rencana Kerja dan Milestone</w:t>
      </w:r>
    </w:p>
    <w:p>
      <w:pPr>
        <w:pStyle w:val="Heading2"/>
        <w:spacing w:before="220" w:after="100"/>
      </w:pPr>
      <w:r>
        <w:rPr>
          <w:rFonts w:ascii="Arial" w:cs="Arial" w:eastAsia="Arial" w:hAnsi="Arial"/>
          <w:b/>
          <w:bCs/>
          <w:color w:val="2563A8"/>
          <w:sz w:val="26"/>
          <w:szCs w:val="26"/>
        </w:rPr>
        <w:t xml:space="preserve">3.1 Fase 1 — Fondasi (Januari – Maret 2026)</w:t>
      </w:r>
    </w:p>
    <w:p>
      <w:pPr>
        <w:spacing w:before="60" w:after="60"/>
      </w:pPr>
      <w:r>
        <w:rPr>
          <w:rFonts w:ascii="Arial" w:cs="Arial" w:eastAsia="Arial" w:hAnsi="Arial"/>
          <w:color w:val="404040"/>
          <w:sz w:val="20"/>
          <w:szCs w:val="20"/>
        </w:rPr>
        <w:t xml:space="preserve">Target: Menetapkan tata kelola, inventarisasi data, dan kebijakan dasar.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PIC</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Penerbitan SK DPO &amp; penetapan Privacy Champions per unit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Direktur T&amp;I, Legal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Maret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Penyusunan Rencana Kerja &amp; kick-off program (dokumen ini)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Governance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Maret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Inventarisasi &amp; klasifikasi data pribadi (RoPA awal)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Management, 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Maret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Penyusunan Kebijakan Privasi Induk (Master Privacy Policy)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Legal, DPO</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Maret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Gap analysis terhadap UU PDP dan ISO 27701:2019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Governance, Risk Management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Maret 2026</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3.2 Fase 2 — Kepatuhan Kritis (April – Juni 2026)</w:t>
      </w:r>
    </w:p>
    <w:p>
      <w:pPr>
        <w:spacing w:before="60" w:after="60"/>
      </w:pPr>
      <w:r>
        <w:rPr>
          <w:rFonts w:ascii="Arial" w:cs="Arial" w:eastAsia="Arial" w:hAnsi="Arial"/>
          <w:color w:val="404040"/>
          <w:sz w:val="20"/>
          <w:szCs w:val="20"/>
        </w:rPr>
        <w:t xml:space="preserve">Target: Implementasi kontrol wajib UU PDP dan kerangka kerja PIMS.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PIC</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Penetapan kebijakan retensi data digital per kategori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Management, Legal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April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Implementasi mekanisme consent management di aplikasi &amp; portal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Digital Solution Dev.</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April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Pengembangan portal pemenuhan hak subjek data (SAR)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Digital Solution Dev., IT Core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Mei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DPIA untuk sistem klaim, underwriting, dan e-KYC</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 Risk Management, IT</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Mei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Review &amp; pembaruan DPA dengan seluruh vendor/prosesor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Procurement, Legal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Juni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Implementasi kebijakan transfer data lintas batas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Legal, IT Governance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Juni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Training awareness UU PDP seluruh karyawan (batch 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Human Capital, 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Juni 2026</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3.3 Fase 3 — Penguatan (Juli – September 2026)</w:t>
      </w:r>
    </w:p>
    <w:p>
      <w:pPr>
        <w:spacing w:before="60" w:after="60"/>
      </w:pPr>
      <w:r>
        <w:rPr>
          <w:rFonts w:ascii="Arial" w:cs="Arial" w:eastAsia="Arial" w:hAnsi="Arial"/>
          <w:color w:val="404040"/>
          <w:sz w:val="20"/>
          <w:szCs w:val="20"/>
        </w:rPr>
        <w:t xml:space="preserve">Target: Penguatan kontrol teknis, audit internal pertama, dan kesiapan sertifikasi.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PIC</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Audit internal kepatuhan UU PDP &amp; kesiapan ISO 27701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Internal Audit, 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Juli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Remediasi temuan audit internal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Semua unit terdampak</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Agustus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Integrasi PIMS ke dalam Management Review ISMS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Governance, 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Agustus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Penerbitan Accountability Framework &amp; evidence portfolio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 IT Governance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September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Training awareness batch 2 &amp; simulasi insiden kebocoran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Human Capital, IT Security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September 2026</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3.4 Fase 4 — Pemeliharaan &amp; Sertifikasi (Oktober – Desember 2026)</w:t>
      </w:r>
    </w:p>
    <w:p>
      <w:pPr>
        <w:spacing w:before="60" w:after="60"/>
      </w:pPr>
      <w:r>
        <w:rPr>
          <w:rFonts w:ascii="Arial" w:cs="Arial" w:eastAsia="Arial" w:hAnsi="Arial"/>
          <w:color w:val="404040"/>
          <w:sz w:val="20"/>
          <w:szCs w:val="20"/>
        </w:rPr>
        <w:t xml:space="preserve">Target: Tinjauan manajemen, kesiapan audit eksternal ISO 27701, dan program pemeliharaan berkelanjutan.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PIC</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Pre-audit assessment oleh konsultan eksternal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Governance, DPO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Oktober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Management Review terpadu ISMS + PIMS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Direktur T&amp;I, DPO</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November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Audit sertifikasi ISO 27701:2019 (jika dijadwalkan)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Governance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Desember 2026</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Penetapan program pemeliharaan PIMS tahun 2027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 IT Governance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Desember 2026</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4. Anggaran &amp; Sumber Daya</w:t>
      </w:r>
    </w:p>
    <w:p>
      <w:pPr>
        <w:spacing w:before="60" w:after="60"/>
      </w:pPr>
      <w:r>
        <w:rPr>
          <w:rFonts w:ascii="Arial" w:cs="Arial" w:eastAsia="Arial" w:hAnsi="Arial"/>
          <w:color w:val="404040"/>
          <w:sz w:val="20"/>
          <w:szCs w:val="20"/>
        </w:rPr>
        <w:t xml:space="preserve">Program implementasi ini memerlukan alokasi sumber daya meliputi:</w:t>
      </w:r>
    </w:p>
    <w:p>
      <w:pPr>
        <w:pStyle w:val="ListParagraph"/>
        <w:numPr>
          <w:ilvl w:val="0"/>
          <w:numId w:val="2"/>
        </w:numPr>
        <w:spacing w:before="40" w:after="40"/>
      </w:pPr>
      <w:r>
        <w:rPr>
          <w:rFonts w:ascii="Arial" w:cs="Arial" w:eastAsia="Arial" w:hAnsi="Arial"/>
          <w:color w:val="404040"/>
          <w:sz w:val="20"/>
          <w:szCs w:val="20"/>
        </w:rPr>
        <w:t xml:space="preserve">Sumber Daya Manusia: DPO (internal/eksternal), Privacy Champions (1 per Direktorat), dukungan IT Security &amp; Governance, Legal Counsel</w:t>
      </w:r>
    </w:p>
    <w:p>
      <w:pPr>
        <w:pStyle w:val="ListParagraph"/>
        <w:numPr>
          <w:ilvl w:val="0"/>
          <w:numId w:val="2"/>
        </w:numPr>
        <w:spacing w:before="40" w:after="40"/>
      </w:pPr>
      <w:r>
        <w:rPr>
          <w:rFonts w:ascii="Arial" w:cs="Arial" w:eastAsia="Arial" w:hAnsi="Arial"/>
          <w:color w:val="404040"/>
          <w:sz w:val="20"/>
          <w:szCs w:val="20"/>
        </w:rPr>
        <w:t xml:space="preserve">Infrastruktur Teknologi: Pengembangan portal hak subjek data, consent management system, enkripsi data at rest, dan tools DPIA</w:t>
      </w:r>
    </w:p>
    <w:p>
      <w:pPr>
        <w:pStyle w:val="ListParagraph"/>
        <w:numPr>
          <w:ilvl w:val="0"/>
          <w:numId w:val="2"/>
        </w:numPr>
        <w:spacing w:before="40" w:after="40"/>
      </w:pPr>
      <w:r>
        <w:rPr>
          <w:rFonts w:ascii="Arial" w:cs="Arial" w:eastAsia="Arial" w:hAnsi="Arial"/>
          <w:color w:val="404040"/>
          <w:sz w:val="20"/>
          <w:szCs w:val="20"/>
        </w:rPr>
        <w:t xml:space="preserve">Pelatihan: Program awareness UU PDP untuk seluruh 500+ karyawan (minimal 2 batch per tahun)</w:t>
      </w:r>
    </w:p>
    <w:p>
      <w:pPr>
        <w:pStyle w:val="ListParagraph"/>
        <w:numPr>
          <w:ilvl w:val="0"/>
          <w:numId w:val="2"/>
        </w:numPr>
        <w:spacing w:before="40" w:after="40"/>
      </w:pPr>
      <w:r>
        <w:rPr>
          <w:rFonts w:ascii="Arial" w:cs="Arial" w:eastAsia="Arial" w:hAnsi="Arial"/>
          <w:color w:val="404040"/>
          <w:sz w:val="20"/>
          <w:szCs w:val="20"/>
        </w:rPr>
        <w:t xml:space="preserve">Konsultasi Eksternal: Pre-audit assessment dan review kebijakan oleh konsultan privasi yang berpengalaman</w:t>
      </w:r>
    </w:p>
    <w:p>
      <w:pPr>
        <w:pStyle w:val="ListParagraph"/>
        <w:numPr>
          <w:ilvl w:val="0"/>
          <w:numId w:val="2"/>
        </w:numPr>
        <w:spacing w:before="40" w:after="40"/>
      </w:pPr>
      <w:r>
        <w:rPr>
          <w:rFonts w:ascii="Arial" w:cs="Arial" w:eastAsia="Arial" w:hAnsi="Arial"/>
          <w:color w:val="404040"/>
          <w:sz w:val="20"/>
          <w:szCs w:val="20"/>
        </w:rPr>
        <w:t xml:space="preserve">Audit &amp; Sertifikasi: Biaya audit sertifikasi ISO 27701 oleh certification body terakreditasi</w:t>
      </w:r>
    </w:p>
    <w:p>
      <w:pPr>
        <w:spacing w:before="60" w:after="60"/>
      </w:pPr>
      <w:r>
        <w:rPr>
          <w:rFonts w:ascii="Arial" w:cs="Arial" w:eastAsia="Arial" w:hAnsi="Arial"/>
          <w:color w:val="404040"/>
          <w:sz w:val="20"/>
          <w:szCs w:val="20"/>
        </w:rPr>
        <w:t xml:space="preserve">Detail anggaran diajukan terpisah oleh Direktur Technology &amp; Information kepada Komite Eksekutif untuk persetujuan.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5. Pelaporan &amp; Pemantauan</w:t>
      </w:r>
    </w:p>
    <w:p>
      <w:pPr>
        <w:pStyle w:val="ListParagraph"/>
        <w:numPr>
          <w:ilvl w:val="0"/>
          <w:numId w:val="2"/>
        </w:numPr>
        <w:spacing w:before="40" w:after="40"/>
      </w:pPr>
      <w:r>
        <w:rPr>
          <w:rFonts w:ascii="Arial" w:cs="Arial" w:eastAsia="Arial" w:hAnsi="Arial"/>
          <w:color w:val="404040"/>
          <w:sz w:val="20"/>
          <w:szCs w:val="20"/>
        </w:rPr>
        <w:t xml:space="preserve">Laporan status bulanan kepada Direktur Technology &amp; Information oleh DPO/Program Manager</w:t>
      </w:r>
    </w:p>
    <w:p>
      <w:pPr>
        <w:pStyle w:val="ListParagraph"/>
        <w:numPr>
          <w:ilvl w:val="0"/>
          <w:numId w:val="2"/>
        </w:numPr>
        <w:spacing w:before="40" w:after="40"/>
      </w:pPr>
      <w:r>
        <w:rPr>
          <w:rFonts w:ascii="Arial" w:cs="Arial" w:eastAsia="Arial" w:hAnsi="Arial"/>
          <w:color w:val="404040"/>
          <w:sz w:val="20"/>
          <w:szCs w:val="20"/>
        </w:rPr>
        <w:t xml:space="preserve">Laporan triwulanan kepada Komite Pengelola Teknologi Informasi dan Komite Manajemen Risiko</w:t>
      </w:r>
    </w:p>
    <w:p>
      <w:pPr>
        <w:pStyle w:val="ListParagraph"/>
        <w:numPr>
          <w:ilvl w:val="0"/>
          <w:numId w:val="2"/>
        </w:numPr>
        <w:spacing w:before="40" w:after="40"/>
      </w:pPr>
      <w:r>
        <w:rPr>
          <w:rFonts w:ascii="Arial" w:cs="Arial" w:eastAsia="Arial" w:hAnsi="Arial"/>
          <w:color w:val="404040"/>
          <w:sz w:val="20"/>
          <w:szCs w:val="20"/>
        </w:rPr>
        <w:t xml:space="preserve">Laporan tahunan kepada Board of Directors dan Komite Pemantau Risiko</w:t>
      </w:r>
    </w:p>
    <w:p>
      <w:pPr>
        <w:pStyle w:val="ListParagraph"/>
        <w:numPr>
          <w:ilvl w:val="0"/>
          <w:numId w:val="2"/>
        </w:numPr>
        <w:spacing w:before="40" w:after="40"/>
      </w:pPr>
      <w:r>
        <w:rPr>
          <w:rFonts w:ascii="Arial" w:cs="Arial" w:eastAsia="Arial" w:hAnsi="Arial"/>
          <w:color w:val="404040"/>
          <w:sz w:val="20"/>
          <w:szCs w:val="20"/>
        </w:rPr>
        <w:t xml:space="preserve">Pelaporan insiden kebocoran data ke OJK dalam 14 hari sesuai ketentuan UU PDP</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6.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Privacy Officer</w:t>
            </w:r>
          </w:p>
          <w:p>
            <w:pPr>
              <w:jc w:val="center"/>
            </w:pPr>
            <w:r>
              <w:rPr>
                <w:rFonts w:ascii="Arial" w:cs="Arial" w:eastAsia="Arial" w:hAnsi="Arial"/>
                <w:color w:val="666666"/>
                <w:sz w:val="18"/>
                <w:szCs w:val="18"/>
              </w:rPr>
              <w:t xml:space="preserve">IT Security &amp; Governance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Technology &amp; Information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President Director</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Rencana Kerja Implementasi UU PDP &amp; ISO 27701:2019</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ELI-PDPISO27701-001</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2026-03-21T16:38:05.361Z</dcterms:created>
  <dcterms:modified xsi:type="dcterms:W3CDTF">2026-03-21T16:38:05.363Z</dcterms:modified>
</cp:coreProperties>
</file>

<file path=docProps/custom.xml><?xml version="1.0" encoding="utf-8"?>
<Properties xmlns="http://schemas.openxmlformats.org/officeDocument/2006/custom-properties" xmlns:vt="http://schemas.openxmlformats.org/officeDocument/2006/docPropsVTypes"/>
</file>