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6B" w:sz="60" w:space="0"/>
        </w:pBdr>
        <w:shd w:fill="1A3C6B" w:val="clear"/>
        <w:spacing w:before="0" w:after="0"/>
      </w:pPr>
      <w:r>
        <w:rPr>
          <w:sz w:val="60"/>
          <w:szCs w:val="60"/>
        </w:rPr>
        <w:t xml:space="preserve"/>
      </w:r>
    </w:p>
    <w:p>
      <w:pPr>
        <w:spacing w:before="560" w:after="0"/>
      </w:pPr>
      <w:r>
        <w:t xml:space="preserve"/>
      </w:r>
    </w:p>
    <w:p>
      <w:pPr>
        <w:spacing w:before="0" w:after="80"/>
        <w:jc w:val="center"/>
      </w:pPr>
      <w:r>
        <w:rPr>
          <w:rFonts w:ascii="Arial" w:cs="Arial" w:eastAsia="Arial" w:hAnsi="Arial"/>
          <w:b/>
          <w:bCs/>
          <w:color w:val="1A3C6B"/>
          <w:sz w:val="28"/>
          <w:szCs w:val="28"/>
        </w:rPr>
        <w:t xml:space="preserve">PT Equity Life Indonesia</w:t>
      </w:r>
    </w:p>
    <w:p>
      <w:pPr>
        <w:spacing w:before="0" w:after="400"/>
        <w:jc w:val="center"/>
      </w:pPr>
      <w:r>
        <w:rPr>
          <w:rFonts w:ascii="Arial" w:cs="Arial" w:eastAsia="Arial" w:hAnsi="Arial"/>
          <w:color w:val="666666"/>
          <w:sz w:val="22"/>
          <w:szCs w:val="22"/>
        </w:rPr>
        <w:t xml:space="preserve">Technology &amp; Information Directorate</w:t>
      </w:r>
    </w:p>
    <w:p>
      <w:pPr>
        <w:spacing w:before="200" w:after="0"/>
      </w:pPr>
      <w:r>
        <w:t xml:space="preserve"/>
      </w:r>
    </w:p>
    <w:p>
      <w:pPr>
        <w:spacing w:before="0" w:after="120"/>
        <w:jc w:val="center"/>
      </w:pPr>
      <w:r>
        <w:rPr>
          <w:rFonts w:ascii="Arial" w:cs="Arial" w:eastAsia="Arial" w:hAnsi="Arial"/>
          <w:b/>
          <w:bCs/>
          <w:color w:val="C8A84B"/>
          <w:sz w:val="22"/>
          <w:szCs w:val="22"/>
        </w:rPr>
        <w:t xml:space="preserve">KEBIJAKAN</w:t>
      </w:r>
    </w:p>
    <w:p>
      <w:pPr>
        <w:pBdr>
          <w:top w:val="single" w:color="C8A84B" w:sz="4" w:space="4"/>
          <w:bottom w:val="single" w:color="C8A84B" w:sz="4" w:space="4"/>
        </w:pBdr>
        <w:spacing w:before="0" w:after="240"/>
        <w:jc w:val="center"/>
      </w:pPr>
      <w:r>
        <w:rPr>
          <w:rFonts w:ascii="Arial" w:cs="Arial" w:eastAsia="Arial" w:hAnsi="Arial"/>
          <w:b/>
          <w:bCs/>
          <w:color w:val="1A3C6B"/>
          <w:sz w:val="40"/>
          <w:szCs w:val="40"/>
        </w:rPr>
        <w:t xml:space="preserve">Kebijakan Klasifikasi Data Pribadi</w:t>
      </w:r>
    </w:p>
    <w:p>
      <w:pPr>
        <w:spacing w:before="400" w:after="0"/>
      </w:pPr>
      <w:r>
        <w:t xml:space="preserve"/>
      </w:r>
    </w:p>
    <w:tbl>
      <w:tblPr>
        <w:tblW w:type="dxa" w:w="57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tblGrid>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Kode Dokumen</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ELI-PDPISO27701-004</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Versi</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Versi 1.0</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Tanggal Berlaku</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404040"/>
                <w:sz w:val="20"/>
                <w:szCs w:val="20"/>
              </w:rPr>
              <w:t xml:space="preserve">: Maret 2026</w:t>
            </w:r>
          </w:p>
        </w:tc>
      </w:tr>
      <w:tr>
        <w:tc>
          <w:tcPr>
            <w:tcW w:type="dxa" w:w="2160"/>
            <w:tcBorders>
              <w:top w:val="none" w:color="FFFFFF" w:sz="0"/>
              <w:left w:val="none" w:color="FFFFFF" w:sz="0"/>
              <w:bottom w:val="none" w:color="FFFFFF" w:sz="0"/>
              <w:right w:val="none" w:color="FFFFFF" w:sz="0"/>
            </w:tcBorders>
          </w:tcPr>
          <w:p>
            <w:r>
              <w:rPr>
                <w:rFonts w:ascii="Arial" w:cs="Arial" w:eastAsia="Arial" w:hAnsi="Arial"/>
                <w:color w:val="666666"/>
                <w:sz w:val="20"/>
                <w:szCs w:val="20"/>
              </w:rPr>
              <w:t xml:space="preserve">Klasifikasi</w:t>
            </w:r>
          </w:p>
        </w:tc>
        <w:tc>
          <w:tcPr>
            <w:tcW w:type="dxa" w:w="3600"/>
            <w:tcBorders>
              <w:top w:val="none" w:color="FFFFFF" w:sz="0"/>
              <w:left w:val="none" w:color="FFFFFF" w:sz="0"/>
              <w:bottom w:val="none" w:color="FFFFFF" w:sz="0"/>
              <w:right w:val="none" w:color="FFFFFF" w:sz="0"/>
            </w:tcBorders>
          </w:tcPr>
          <w:p>
            <w:r>
              <w:rPr>
                <w:rFonts w:ascii="Arial" w:cs="Arial" w:eastAsia="Arial" w:hAnsi="Arial"/>
                <w:b/>
                <w:bCs/>
                <w:color w:val="C00000"/>
                <w:sz w:val="20"/>
                <w:szCs w:val="20"/>
              </w:rPr>
              <w:t xml:space="preserve">: RAHASIA — Internal</w:t>
            </w:r>
          </w:p>
        </w:tc>
      </w:tr>
    </w:tbl>
    <w:p>
      <w:pPr>
        <w:spacing w:before="600" w:after="0"/>
      </w:pPr>
      <w:r>
        <w:t xml:space="preserve"/>
      </w:r>
    </w:p>
    <w:p>
      <w:pPr>
        <w:pBdr>
          <w:top w:val="single" w:color="CCCCCC" w:sz="4" w:space="4"/>
        </w:pBdr>
        <w:spacing w:before="0" w:after="0"/>
        <w:jc w:val="center"/>
      </w:pPr>
      <w:r>
        <w:rPr>
          <w:rFonts w:ascii="Arial" w:cs="Arial" w:eastAsia="Arial" w:hAnsi="Arial"/>
          <w:i/>
          <w:iCs/>
          <w:color w:val="666666"/>
          <w:sz w:val="16"/>
          <w:szCs w:val="16"/>
        </w:rPr>
        <w:t xml:space="preserve">© 2026 PT Equity Life Indonesia. Dokumen ini bersifat rahasia dan hanya untuk penggunaan internal.</w:t>
      </w:r>
    </w:p>
    <w:p>
      <w:r>
        <w:br w:type="page"/>
      </w:r>
    </w:p>
    <w:p>
      <w:pPr>
        <w:pStyle w:val="Heading1"/>
        <w:pBdr>
          <w:bottom w:val="single" w:color="1A3C6B" w:sz="8" w:space="4"/>
        </w:pBdr>
        <w:spacing w:before="280" w:after="140"/>
      </w:pPr>
      <w:r>
        <w:rPr>
          <w:rFonts w:ascii="Arial" w:cs="Arial" w:eastAsia="Arial" w:hAnsi="Arial"/>
          <w:b/>
          <w:bCs/>
          <w:color w:val="1A3C6B"/>
          <w:sz w:val="32"/>
          <w:szCs w:val="32"/>
        </w:rPr>
        <w:t xml:space="preserve">1. Tujuan dan Ruang Lingkup</w:t>
      </w:r>
    </w:p>
    <w:p>
      <w:pPr>
        <w:spacing w:before="60" w:after="60"/>
      </w:pPr>
      <w:r>
        <w:rPr>
          <w:rFonts w:ascii="Arial" w:cs="Arial" w:eastAsia="Arial" w:hAnsi="Arial"/>
          <w:color w:val="404040"/>
          <w:sz w:val="20"/>
          <w:szCs w:val="20"/>
        </w:rPr>
        <w:t xml:space="preserve">Kebijakan ini menetapkan sistem klasifikasi data pribadi yang diproses oleh PT Equity Life Indonesia berdasarkan jenis, tingkat sensitivitas, dan ketentuan hukum yang berlaku. Klasifikasi ini menjadi fondasi bagi penetapan kontrol perlindungan, kebijakan retensi, dan langkah-langkah pengamanan yang proporsional.</w:t>
      </w:r>
    </w:p>
    <w:p>
      <w:pPr>
        <w:spacing w:before="60" w:after="60"/>
      </w:pPr>
      <w:r>
        <w:rPr>
          <w:rFonts w:ascii="Arial" w:cs="Arial" w:eastAsia="Arial" w:hAnsi="Arial"/>
          <w:color w:val="404040"/>
          <w:sz w:val="20"/>
          <w:szCs w:val="20"/>
        </w:rPr>
        <w:t xml:space="preserve">Kebijakan ini berlaku untuk seluruh data pribadi yang dikumpulkan, diproses, disimpan, dibagikan, dan dihapus oleh atau atas nama PT Equity Life Indonesia, mencakup data nasabah, agen, karyawan, mitra bisnis, dan pemangku kepentingan lainnya.</w:t>
      </w:r>
    </w:p>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2. Definisi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Istilah</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Definisi</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Data Pribadi</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Setiap informasi mengenai orang perseorangan yang teridentifikasi atau dapat diidentifikasi secara langsung atau tidak langsung (UU PDP Pasal 1 ayat 1).</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Data Pribadi Umum</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Data pribadi yang tidak termasuk dalam kategori data pribadi spesifik, seperti nama, alamat, nomor telepon, dan informasi demografis umum.</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Data Pribadi Spesifik</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Data yang mendapat perlindungan lebih ketat berdasarkan UU PDP Pasal 4 ayat 2, meliputi: data kesehatan, data biometrik, data genetika, catatan kejahatan, data anak, dan data keuangan pribadi.</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Pengendali Data (PII Controller)</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PT Equity Life Indonesia dalam kapasitasnya menentukan tujuan dan cara pemrosesan data pribadi.</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Prosesor Data (PII Processor)</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Pihak ketiga yang memproses data pribadi atas instruksi PT Equity Life Indonesia.</w:t>
            </w:r>
          </w:p>
        </w:tc>
      </w:tr>
    </w:tbl>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3. Kategori Data Pribadi PT Equity Life Indonesia</w:t>
      </w:r>
    </w:p>
    <w:p>
      <w:pPr>
        <w:pStyle w:val="Heading2"/>
        <w:spacing w:before="220" w:after="100"/>
      </w:pPr>
      <w:r>
        <w:rPr>
          <w:rFonts w:ascii="Arial" w:cs="Arial" w:eastAsia="Arial" w:hAnsi="Arial"/>
          <w:b/>
          <w:bCs/>
          <w:color w:val="2563A8"/>
          <w:sz w:val="26"/>
          <w:szCs w:val="26"/>
        </w:rPr>
        <w:t xml:space="preserve">3.1 Kelas 1 — Data Pribadi Spesifik (Perlindungan Sangat Tinggi)</w:t>
      </w:r>
    </w:p>
    <w:p>
      <w:pPr>
        <w:spacing w:before="60" w:after="60"/>
      </w:pPr>
      <w:r>
        <w:rPr>
          <w:rFonts w:ascii="Arial" w:cs="Arial" w:eastAsia="Arial" w:hAnsi="Arial"/>
          <w:color w:val="404040"/>
          <w:sz w:val="20"/>
          <w:szCs w:val="20"/>
        </w:rPr>
        <w:t xml:space="preserve">Data yang mendapat perlindungan paling ketat sesuai UU PDP Pasal 4 ayat 2. Pelanggaran terhadap data ini berpotensi menimbulkan dampak serius bagi subjek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638"/>
      </w:tblGrid>
      <w:tr>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Jenis Data</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Contoh di Lingkungan ELI</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Sumber</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Data Kesehatan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Riwayat penyakit, diagnosa dokter, hasil laboratorium, informasi klaim rawat inap/jalan, data kondisi fisik untuk underwriting</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Formulir permohonan asuransi, klaim, rekam medis dari provider</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Data Biometrik</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Foto wajah untuk e-KYC, sidik jari, data liveness detection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Proses onboarding digital, portal agen</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Data Keuangan Pribadi</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Nomor rekening bank nasabah, data pendapatan untuk underwriting, informasi klaim nilai tunai polis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Formulir polis, proses pembayaran klaim</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Data Anak</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Data tertanggung anak dalam produk asuransi jiwa keluarga atau beasiswa</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Formulir polis dengan tertanggung anak</w:t>
            </w:r>
          </w:p>
        </w:tc>
      </w:tr>
    </w:tbl>
    <w:p>
      <w:pPr>
        <w:spacing w:before="60" w:after="60"/>
      </w:pPr>
      <w:r>
        <w:rPr>
          <w:rFonts w:ascii="Arial" w:cs="Arial" w:eastAsia="Arial" w:hAnsi="Arial"/>
          <w:color w:val="404040"/>
          <w:sz w:val="20"/>
          <w:szCs w:val="20"/>
        </w:rPr>
        <w:t xml:space="preserve">Kontrol wajib: Enkripsi at rest &amp; in transit, akses berbasis least privilege, DPIA wajib, consent eksplisit, tidak boleh ditransfer ke pihak ketiga tanpa perjanjian DPA.</w:t>
      </w:r>
    </w:p>
    <w:p>
      <w:pPr>
        <w:spacing w:before="120" w:after="0"/>
      </w:pPr>
      <w:r>
        <w:t xml:space="preserve"/>
      </w:r>
    </w:p>
    <w:p>
      <w:pPr>
        <w:pStyle w:val="Heading2"/>
        <w:spacing w:before="220" w:after="100"/>
      </w:pPr>
      <w:r>
        <w:rPr>
          <w:rFonts w:ascii="Arial" w:cs="Arial" w:eastAsia="Arial" w:hAnsi="Arial"/>
          <w:b/>
          <w:bCs/>
          <w:color w:val="2563A8"/>
          <w:sz w:val="26"/>
          <w:szCs w:val="26"/>
        </w:rPr>
        <w:t xml:space="preserve">3.2 Kelas 2 — Data Pribadi Umum Sensitif (Perlindungan Tinggi)</w:t>
      </w:r>
    </w:p>
    <w:p>
      <w:pPr>
        <w:spacing w:before="60" w:after="60"/>
      </w:pPr>
      <w:r>
        <w:rPr>
          <w:rFonts w:ascii="Arial" w:cs="Arial" w:eastAsia="Arial" w:hAnsi="Arial"/>
          <w:color w:val="404040"/>
          <w:sz w:val="20"/>
          <w:szCs w:val="20"/>
        </w:rPr>
        <w:t xml:space="preserve">Data yang meskipun tidak dikategorikan sebagai data spesifik, namun memiliki sensitivitas tinggi dalam konteks asuransi jiwa.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638"/>
      </w:tblGrid>
      <w:tr>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Jenis Data</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Contoh di Lingkungan ELI</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Sumber</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Identitas Resmi</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NIK (Nomor Induk Kependudukan), nomor paspor, nomor KK</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Formulir permohonan, e-KYC</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Data Polis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Nomor polis, nilai pertanggungan, manfaat polis, status polis, informasi ahli waris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Sistem core asuransi</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Data Klaim</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Detail klaim yang diajukan, nilai klaim, status pembayaran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Sistem klaim</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Data Kontrak Agen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Nomor agen, komisi, data produksi agen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val="false"/>
                <w:bCs w:val="false"/>
                <w:color w:val="404040"/>
                <w:sz w:val="20"/>
                <w:szCs w:val="20"/>
              </w:rPr>
              <w:t xml:space="preserve">Sistem keagenan</w:t>
            </w:r>
          </w:p>
        </w:tc>
      </w:tr>
    </w:tbl>
    <w:p>
      <w:pPr>
        <w:spacing w:before="120" w:after="0"/>
      </w:pPr>
      <w:r>
        <w:t xml:space="preserve"/>
      </w:r>
    </w:p>
    <w:p>
      <w:pPr>
        <w:pStyle w:val="Heading2"/>
        <w:spacing w:before="220" w:after="100"/>
      </w:pPr>
      <w:r>
        <w:rPr>
          <w:rFonts w:ascii="Arial" w:cs="Arial" w:eastAsia="Arial" w:hAnsi="Arial"/>
          <w:b/>
          <w:bCs/>
          <w:color w:val="2563A8"/>
          <w:sz w:val="26"/>
          <w:szCs w:val="26"/>
        </w:rPr>
        <w:t xml:space="preserve">3.3 Kelas 3 — Data Pribadi Umum Standar (Perlindungan Sedang)</w:t>
      </w:r>
    </w:p>
    <w:p>
      <w:pPr>
        <w:spacing w:before="60" w:after="60"/>
      </w:pPr>
      <w:r>
        <w:rPr>
          <w:rFonts w:ascii="Arial" w:cs="Arial" w:eastAsia="Arial" w:hAnsi="Arial"/>
          <w:color w:val="404040"/>
          <w:sz w:val="20"/>
          <w:szCs w:val="20"/>
        </w:rPr>
        <w:t xml:space="preserve">Data yang bersifat umum namun tetap merupakan data pribadi yang wajib dilindungi.</w:t>
      </w:r>
    </w:p>
    <w:p>
      <w:pPr>
        <w:pStyle w:val="ListParagraph"/>
        <w:numPr>
          <w:ilvl w:val="0"/>
          <w:numId w:val="2"/>
        </w:numPr>
        <w:spacing w:before="40" w:after="40"/>
      </w:pPr>
      <w:r>
        <w:rPr>
          <w:rFonts w:ascii="Arial" w:cs="Arial" w:eastAsia="Arial" w:hAnsi="Arial"/>
          <w:color w:val="404040"/>
          <w:sz w:val="20"/>
          <w:szCs w:val="20"/>
        </w:rPr>
        <w:t xml:space="preserve">Nama lengkap, tempat dan tanggal lahir, jenis kelamin</w:t>
      </w:r>
    </w:p>
    <w:p>
      <w:pPr>
        <w:pStyle w:val="ListParagraph"/>
        <w:numPr>
          <w:ilvl w:val="0"/>
          <w:numId w:val="2"/>
        </w:numPr>
        <w:spacing w:before="40" w:after="40"/>
      </w:pPr>
      <w:r>
        <w:rPr>
          <w:rFonts w:ascii="Arial" w:cs="Arial" w:eastAsia="Arial" w:hAnsi="Arial"/>
          <w:color w:val="404040"/>
          <w:sz w:val="20"/>
          <w:szCs w:val="20"/>
        </w:rPr>
        <w:t xml:space="preserve">Alamat domisili dan korespondensi</w:t>
      </w:r>
    </w:p>
    <w:p>
      <w:pPr>
        <w:pStyle w:val="ListParagraph"/>
        <w:numPr>
          <w:ilvl w:val="0"/>
          <w:numId w:val="2"/>
        </w:numPr>
        <w:spacing w:before="40" w:after="40"/>
      </w:pPr>
      <w:r>
        <w:rPr>
          <w:rFonts w:ascii="Arial" w:cs="Arial" w:eastAsia="Arial" w:hAnsi="Arial"/>
          <w:color w:val="404040"/>
          <w:sz w:val="20"/>
          <w:szCs w:val="20"/>
        </w:rPr>
        <w:t xml:space="preserve">Nomor telepon dan alamat email</w:t>
      </w:r>
    </w:p>
    <w:p>
      <w:pPr>
        <w:pStyle w:val="ListParagraph"/>
        <w:numPr>
          <w:ilvl w:val="0"/>
          <w:numId w:val="2"/>
        </w:numPr>
        <w:spacing w:before="40" w:after="40"/>
      </w:pPr>
      <w:r>
        <w:rPr>
          <w:rFonts w:ascii="Arial" w:cs="Arial" w:eastAsia="Arial" w:hAnsi="Arial"/>
          <w:color w:val="404040"/>
          <w:sz w:val="20"/>
          <w:szCs w:val="20"/>
        </w:rPr>
        <w:t xml:space="preserve">Pekerjaan dan nama perusahaan tempat bekerja</w:t>
      </w:r>
    </w:p>
    <w:p>
      <w:pPr>
        <w:pStyle w:val="ListParagraph"/>
        <w:numPr>
          <w:ilvl w:val="0"/>
          <w:numId w:val="2"/>
        </w:numPr>
        <w:spacing w:before="40" w:after="40"/>
      </w:pPr>
      <w:r>
        <w:rPr>
          <w:rFonts w:ascii="Arial" w:cs="Arial" w:eastAsia="Arial" w:hAnsi="Arial"/>
          <w:color w:val="404040"/>
          <w:sz w:val="20"/>
          <w:szCs w:val="20"/>
        </w:rPr>
        <w:t xml:space="preserve">Status pernikahan</w:t>
      </w:r>
    </w:p>
    <w:p>
      <w:pPr>
        <w:spacing w:before="120" w:after="0"/>
      </w:pPr>
      <w:r>
        <w:t xml:space="preserve"/>
      </w:r>
    </w:p>
    <w:p>
      <w:pPr>
        <w:pStyle w:val="Heading2"/>
        <w:spacing w:before="220" w:after="100"/>
      </w:pPr>
      <w:r>
        <w:rPr>
          <w:rFonts w:ascii="Arial" w:cs="Arial" w:eastAsia="Arial" w:hAnsi="Arial"/>
          <w:b/>
          <w:bCs/>
          <w:color w:val="2563A8"/>
          <w:sz w:val="26"/>
          <w:szCs w:val="26"/>
        </w:rPr>
        <w:t xml:space="preserve">3.4 Kelas 4 — Data Anonim / Agregat (Tanpa Perlindungan Khusus)</w:t>
      </w:r>
    </w:p>
    <w:p>
      <w:pPr>
        <w:spacing w:before="60" w:after="60"/>
      </w:pPr>
      <w:r>
        <w:rPr>
          <w:rFonts w:ascii="Arial" w:cs="Arial" w:eastAsia="Arial" w:hAnsi="Arial"/>
          <w:color w:val="404040"/>
          <w:sz w:val="20"/>
          <w:szCs w:val="20"/>
        </w:rPr>
        <w:t xml:space="preserve">Data yang telah melalui proses anonimisasi atau agregasi sehingga tidak dapat digunakan untuk mengidentifikasi individu secara langsung maupun tidak langsung. Data ini tidak tunduk pada ketentuan UU PDP namun tetap harus dijaga keintegritasannya.</w:t>
      </w:r>
    </w:p>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4. Ketentuan Penanganan Berdasarkan Kelas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2000"/>
        <w:gridCol w:w="2038"/>
      </w:tblGrid>
      <w:tr>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Kontrol</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Kelas 1 (Spesifik)</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Kelas 2 (Sensitif)</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Kelas 3 (Standar)</w:t>
            </w:r>
          </w:p>
        </w:tc>
        <w:tc>
          <w:tcPr>
            <w:tcBorders>
              <w:top w:val="single" w:color="1A3C6B" w:sz="4"/>
              <w:left w:val="single" w:color="1A3C6B" w:sz="4"/>
              <w:bottom w:val="single" w:color="1A3C6B" w:sz="4"/>
              <w:right w:val="single" w:color="1A3C6B" w:sz="4"/>
            </w:tcBorders>
            <w:shd w:fill="1A3C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Kelas 4 (Anonim)</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Enkripsi at rest</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Wajib</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Wajib</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Disarankan</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Tidak diperlukan</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Enkripsi in transit</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Wajib (TLS 1.3)</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Wajib</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Wajib</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Disarankan</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Akses kontrol</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Least privilege + MFA</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Least privilege</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Role-based</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Open internal</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Consent</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Eksplisit &amp; tertulis</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Eksplisit</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Tersirat cukup</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Tidak diperlukan</w:t>
            </w:r>
          </w:p>
        </w:tc>
      </w:tr>
      <w:tr>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DPIA</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Wajib</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Direkomendasikan</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Opsional</w:t>
            </w:r>
          </w:p>
        </w:tc>
        <w:tc>
          <w:tcPr>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Tidak diperlukan</w:t>
            </w:r>
          </w:p>
        </w:tc>
      </w:tr>
      <w:tr>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left"/>
            </w:pPr>
            <w:r>
              <w:rPr>
                <w:rFonts w:ascii="Arial" w:cs="Arial" w:eastAsia="Arial" w:hAnsi="Arial"/>
                <w:b/>
                <w:bCs/>
                <w:color w:val="404040"/>
                <w:sz w:val="20"/>
                <w:szCs w:val="20"/>
              </w:rPr>
              <w:t xml:space="preserve">Audit trail</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Wajib — detailed</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Wajib</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Disarankan</w:t>
            </w:r>
          </w:p>
        </w:tc>
        <w:tc>
          <w:tcPr>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vAlign w:val="top"/>
          </w:tcPr>
          <w:p>
            <w:pPr>
              <w:jc w:val="center"/>
            </w:pPr>
            <w:r>
              <w:rPr>
                <w:rFonts w:ascii="Arial" w:cs="Arial" w:eastAsia="Arial" w:hAnsi="Arial"/>
                <w:b w:val="false"/>
                <w:bCs w:val="false"/>
                <w:color w:val="404040"/>
                <w:sz w:val="20"/>
                <w:szCs w:val="20"/>
              </w:rPr>
              <w:t xml:space="preserve">Tidak diperlukan</w:t>
            </w:r>
          </w:p>
        </w:tc>
      </w:tr>
    </w:tbl>
    <w:p>
      <w:pPr>
        <w:spacing w:before="120" w:after="0"/>
      </w:pPr>
      <w:r>
        <w:t xml:space="preserve"/>
      </w:r>
    </w:p>
    <w:p>
      <w:pPr>
        <w:pStyle w:val="Heading1"/>
        <w:pBdr>
          <w:bottom w:val="single" w:color="1A3C6B" w:sz="8" w:space="4"/>
        </w:pBdr>
        <w:spacing w:before="280" w:after="140"/>
      </w:pPr>
      <w:r>
        <w:rPr>
          <w:rFonts w:ascii="Arial" w:cs="Arial" w:eastAsia="Arial" w:hAnsi="Arial"/>
          <w:b/>
          <w:bCs/>
          <w:color w:val="1A3C6B"/>
          <w:sz w:val="32"/>
          <w:szCs w:val="32"/>
        </w:rPr>
        <w:t xml:space="preserve">5. Persetujuan Dokumen</w:t>
      </w:r>
    </w:p>
    <w:p>
      <w:pPr>
        <w:spacing w:before="80" w:after="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c>
          <w:tcPr>
            <w:tcW w:type="dxa" w:w="3212"/>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tcPr>
          <w:p>
            <w:pPr>
              <w:jc w:val="center"/>
            </w:pPr>
            <w:r>
              <w:rPr>
                <w:rFonts w:ascii="Arial" w:cs="Arial" w:eastAsia="Arial" w:hAnsi="Arial"/>
                <w:b/>
                <w:bCs/>
                <w:color w:val="1A3C6B"/>
                <w:sz w:val="20"/>
                <w:szCs w:val="20"/>
              </w:rPr>
              <w:t xml:space="preserve">Disusun oleh</w:t>
            </w:r>
          </w:p>
        </w:tc>
        <w:tc>
          <w:tcPr>
            <w:tcW w:type="dxa" w:w="3212"/>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tcPr>
          <w:p>
            <w:pPr>
              <w:jc w:val="center"/>
            </w:pPr>
            <w:r>
              <w:rPr>
                <w:rFonts w:ascii="Arial" w:cs="Arial" w:eastAsia="Arial" w:hAnsi="Arial"/>
                <w:b/>
                <w:bCs/>
                <w:color w:val="1A3C6B"/>
                <w:sz w:val="20"/>
                <w:szCs w:val="20"/>
              </w:rPr>
              <w:t xml:space="preserve">Diperiksa oleh</w:t>
            </w:r>
          </w:p>
        </w:tc>
        <w:tc>
          <w:tcPr>
            <w:tcW w:type="dxa" w:w="3212"/>
            <w:tcBorders>
              <w:top w:val="single" w:color="CCCCCC" w:sz="4"/>
              <w:left w:val="single" w:color="CCCCCC" w:sz="4"/>
              <w:bottom w:val="single" w:color="CCCCCC" w:sz="4"/>
              <w:right w:val="single" w:color="CCCCCC" w:sz="4"/>
            </w:tcBorders>
            <w:shd w:fill="DCE6F1" w:val="clear"/>
            <w:tcMar>
              <w:top w:type="dxa" w:w="80"/>
              <w:left w:type="dxa" w:w="140"/>
              <w:bottom w:type="dxa" w:w="80"/>
              <w:right w:type="dxa" w:w="140"/>
            </w:tcMar>
          </w:tcPr>
          <w:p>
            <w:pPr>
              <w:jc w:val="center"/>
            </w:pPr>
            <w:r>
              <w:rPr>
                <w:rFonts w:ascii="Arial" w:cs="Arial" w:eastAsia="Arial" w:hAnsi="Arial"/>
                <w:b/>
                <w:bCs/>
                <w:color w:val="1A3C6B"/>
                <w:sz w:val="20"/>
                <w:szCs w:val="20"/>
              </w:rPr>
              <w:t xml:space="preserve">Disetujui oleh</w:t>
            </w:r>
          </w:p>
        </w:tc>
      </w:tr>
      <w:tr>
        <w:tc>
          <w:tcPr>
            <w:tcW w:type="dxa" w:w="321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i/>
                <w:iCs/>
                <w:color w:val="666666"/>
                <w:sz w:val="18"/>
                <w:szCs w:val="18"/>
              </w:rPr>
              <w:t xml:space="preserve">Tanda Tangan</w:t>
            </w:r>
          </w:p>
          <w:p>
            <w:pPr>
              <w:spacing w:before="600"/>
              <w:jc w:val="center"/>
            </w:pPr>
            <w:r>
              <w:rPr>
                <w:rFonts w:ascii="Arial" w:cs="Arial" w:eastAsia="Arial" w:hAnsi="Arial"/>
                <w:color w:val="CCCCCC"/>
                <w:sz w:val="20"/>
                <w:szCs w:val="20"/>
              </w:rPr>
              <w:t xml:space="preserve">___________________</w:t>
            </w:r>
          </w:p>
        </w:tc>
        <w:tc>
          <w:tcPr>
            <w:tcW w:type="dxa" w:w="321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i/>
                <w:iCs/>
                <w:color w:val="666666"/>
                <w:sz w:val="18"/>
                <w:szCs w:val="18"/>
              </w:rPr>
              <w:t xml:space="preserve">Tanda Tangan</w:t>
            </w:r>
          </w:p>
          <w:p>
            <w:pPr>
              <w:spacing w:before="600"/>
              <w:jc w:val="center"/>
            </w:pPr>
            <w:r>
              <w:rPr>
                <w:rFonts w:ascii="Arial" w:cs="Arial" w:eastAsia="Arial" w:hAnsi="Arial"/>
                <w:color w:val="CCCCCC"/>
                <w:sz w:val="20"/>
                <w:szCs w:val="20"/>
              </w:rPr>
              <w:t xml:space="preserve">___________________</w:t>
            </w:r>
          </w:p>
        </w:tc>
        <w:tc>
          <w:tcPr>
            <w:tcW w:type="dxa" w:w="3212"/>
            <w:tcBorders>
              <w:top w:val="single" w:color="CCCCCC" w:sz="4"/>
              <w:left w:val="single" w:color="CCCCCC" w:sz="4"/>
              <w:bottom w:val="single" w:color="CCCCCC" w:sz="4"/>
              <w:right w:val="single" w:color="CCCCCC" w:sz="4"/>
            </w:tcBorders>
            <w:shd w:fill="FFFFFF" w:val="clear"/>
            <w:tcMar>
              <w:top w:type="dxa" w:w="80"/>
              <w:left w:type="dxa" w:w="140"/>
              <w:bottom w:type="dxa" w:w="80"/>
              <w:right w:type="dxa" w:w="140"/>
            </w:tcMar>
          </w:tcPr>
          <w:p>
            <w:pPr>
              <w:jc w:val="center"/>
            </w:pPr>
            <w:r>
              <w:rPr>
                <w:rFonts w:ascii="Arial" w:cs="Arial" w:eastAsia="Arial" w:hAnsi="Arial"/>
                <w:i/>
                <w:iCs/>
                <w:color w:val="666666"/>
                <w:sz w:val="18"/>
                <w:szCs w:val="18"/>
              </w:rPr>
              <w:t xml:space="preserve">Tanda Tangan</w:t>
            </w:r>
          </w:p>
          <w:p>
            <w:pPr>
              <w:spacing w:before="600"/>
              <w:jc w:val="center"/>
            </w:pPr>
            <w:r>
              <w:rPr>
                <w:rFonts w:ascii="Arial" w:cs="Arial" w:eastAsia="Arial" w:hAnsi="Arial"/>
                <w:color w:val="CCCCCC"/>
                <w:sz w:val="20"/>
                <w:szCs w:val="20"/>
              </w:rPr>
              <w:t xml:space="preserve">___________________</w:t>
            </w:r>
          </w:p>
        </w:tc>
      </w:tr>
      <w:tr>
        <w:tc>
          <w:tcPr>
            <w:tcW w:type="dxa" w:w="3212"/>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DPO / Privacy Officer</w:t>
            </w:r>
          </w:p>
          <w:p>
            <w:pPr>
              <w:jc w:val="center"/>
            </w:pPr>
            <w:r>
              <w:rPr>
                <w:rFonts w:ascii="Arial" w:cs="Arial" w:eastAsia="Arial" w:hAnsi="Arial"/>
                <w:color w:val="666666"/>
                <w:sz w:val="18"/>
                <w:szCs w:val="18"/>
              </w:rPr>
              <w:t xml:space="preserve">IT Security &amp; Governance</w:t>
            </w:r>
          </w:p>
        </w:tc>
        <w:tc>
          <w:tcPr>
            <w:tcW w:type="dxa" w:w="3212"/>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Head of Data Management</w:t>
            </w:r>
          </w:p>
          <w:p>
            <w:pPr>
              <w:jc w:val="center"/>
            </w:pPr>
            <w:r>
              <w:rPr>
                <w:rFonts w:ascii="Arial" w:cs="Arial" w:eastAsia="Arial" w:hAnsi="Arial"/>
                <w:color w:val="666666"/>
                <w:sz w:val="18"/>
                <w:szCs w:val="18"/>
              </w:rPr>
              <w:t xml:space="preserve">Digital Solution Development</w:t>
            </w:r>
          </w:p>
        </w:tc>
        <w:tc>
          <w:tcPr>
            <w:tcW w:type="dxa" w:w="3212"/>
            <w:tcBorders>
              <w:top w:val="single" w:color="CCCCCC" w:sz="4"/>
              <w:left w:val="single" w:color="CCCCCC" w:sz="4"/>
              <w:bottom w:val="single" w:color="CCCCCC" w:sz="4"/>
              <w:right w:val="single" w:color="CCCCCC" w:sz="4"/>
            </w:tcBorders>
            <w:shd w:fill="EEF4FB" w:val="clear"/>
            <w:tcMar>
              <w:top w:type="dxa" w:w="80"/>
              <w:left w:type="dxa" w:w="140"/>
              <w:bottom w:type="dxa" w:w="80"/>
              <w:right w:type="dxa" w:w="140"/>
            </w:tcMar>
          </w:tcPr>
          <w:p>
            <w:pPr>
              <w:jc w:val="center"/>
            </w:pPr>
            <w:r>
              <w:rPr>
                <w:rFonts w:ascii="Arial" w:cs="Arial" w:eastAsia="Arial" w:hAnsi="Arial"/>
                <w:b/>
                <w:bCs/>
                <w:color w:val="404040"/>
                <w:sz w:val="20"/>
                <w:szCs w:val="20"/>
              </w:rPr>
              <w:t xml:space="preserve">Direktur Technology &amp; Information</w:t>
            </w:r>
          </w:p>
          <w:p>
            <w:pPr>
              <w:jc w:val="center"/>
            </w:pPr>
            <w:r>
              <w:rPr>
                <w:rFonts w:ascii="Arial" w:cs="Arial" w:eastAsia="Arial" w:hAnsi="Arial"/>
                <w:color w:val="666666"/>
                <w:sz w:val="18"/>
                <w:szCs w:val="18"/>
              </w:rPr>
              <w:t xml:space="preserve">PT Equity Life Indonesia</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2"/>
      </w:pBdr>
      <w:spacing w:before="60"/>
    </w:pPr>
    <w:r>
      <w:rPr>
        <w:rFonts w:ascii="Arial" w:cs="Arial" w:eastAsia="Arial" w:hAnsi="Arial"/>
        <w:color w:val="666666"/>
        <w:sz w:val="16"/>
        <w:szCs w:val="16"/>
      </w:rPr>
      <w:t xml:space="preserve">Rahasia — Internal  |  PT Equity Life Indonesia  |  UU PDP &amp; ISO 27701:2019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64"/>
      <w:gridCol w:w="3373"/>
    </w:tblGrid>
    <w:tr>
      <w:tc>
        <w:tcPr>
          <w:tcW w:type="dxa" w:w="6264"/>
          <w:tcBorders>
            <w:top w:val="none" w:color="FFFFFF" w:sz="0"/>
            <w:left w:val="none" w:color="FFFFFF" w:sz="0"/>
            <w:bottom w:val="single" w:color="1A3C6B" w:sz="6"/>
            <w:right w:val="none" w:color="FFFFFF" w:sz="0"/>
          </w:tcBorders>
        </w:tcPr>
        <w:p>
          <w:r>
            <w:rPr>
              <w:rFonts w:ascii="Arial" w:cs="Arial" w:eastAsia="Arial" w:hAnsi="Arial"/>
              <w:b/>
              <w:bCs/>
              <w:color w:val="1A3C6B"/>
              <w:sz w:val="18"/>
              <w:szCs w:val="18"/>
            </w:rPr>
            <w:t xml:space="preserve">PT Equity Life Indonesia</w:t>
          </w:r>
        </w:p>
        <w:p>
          <w:r>
            <w:rPr>
              <w:rFonts w:ascii="Arial" w:cs="Arial" w:eastAsia="Arial" w:hAnsi="Arial"/>
              <w:color w:val="666666"/>
              <w:sz w:val="16"/>
              <w:szCs w:val="16"/>
            </w:rPr>
            <w:t xml:space="preserve">Kebijakan Klasifikasi Data Pribadi</w:t>
          </w:r>
        </w:p>
      </w:tc>
      <w:tc>
        <w:tcPr>
          <w:tcW w:type="dxa" w:w="3373"/>
          <w:tcBorders>
            <w:top w:val="none" w:color="FFFFFF" w:sz="0"/>
            <w:left w:val="none" w:color="FFFFFF" w:sz="0"/>
            <w:bottom w:val="single" w:color="1A3C6B" w:sz="6"/>
            <w:right w:val="none" w:color="FFFFFF" w:sz="0"/>
          </w:tcBorders>
        </w:tcPr>
        <w:p>
          <w:pPr>
            <w:jc w:val="right"/>
          </w:pPr>
          <w:r>
            <w:rPr>
              <w:rFonts w:ascii="Arial" w:cs="Arial" w:eastAsia="Arial" w:hAnsi="Arial"/>
              <w:color w:val="666666"/>
              <w:sz w:val="16"/>
              <w:szCs w:val="16"/>
            </w:rPr>
            <w:t xml:space="preserve">ELI-PDPISO27701-004</w:t>
          </w:r>
        </w:p>
        <w:p>
          <w:pPr>
            <w:jc w:val="right"/>
          </w:pPr>
          <w:r>
            <w:rPr>
              <w:rFonts w:ascii="Arial" w:cs="Arial" w:eastAsia="Arial" w:hAnsi="Arial"/>
              <w:color w:val="666666"/>
              <w:sz w:val="16"/>
              <w:szCs w:val="16"/>
            </w:rPr>
            <w:t xml:space="preserve">Versi 1.0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abstractNum w:abstractNumId="4" w15:restartNumberingAfterBreak="0">
    <w:multiLevelType w:val="hybridMultilevel"/>
    <w:lvl w:ilvl="0" w15:tentative="1">
      <w:start w:val="1"/>
      <w:numFmt w:val="upperRoman"/>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40"/>
      <w:outlineLvl w:val="0"/>
    </w:pPr>
    <w:rPr>
      <w:rFonts w:ascii="Arial" w:cs="Arial" w:eastAsia="Arial" w:hAnsi="Arial"/>
      <w:b/>
      <w:bCs/>
      <w:color w:val="1A3C6B"/>
      <w:sz w:val="32"/>
      <w:szCs w:val="32"/>
    </w:rPr>
  </w:style>
  <w:style w:type="paragraph" w:styleId="Heading2">
    <w:name w:val="Heading 2"/>
    <w:basedOn w:val="Normal"/>
    <w:next w:val="Normal"/>
    <w:qFormat/>
    <w:pPr>
      <w:spacing w:before="220" w:after="100"/>
      <w:outlineLvl w:val="1"/>
    </w:pPr>
    <w:rPr>
      <w:rFonts w:ascii="Arial" w:cs="Arial" w:eastAsia="Arial" w:hAnsi="Arial"/>
      <w:b/>
      <w:bCs/>
      <w:color w:val="2563A8"/>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2026-03-21T16:38:05.800Z</dcterms:created>
  <dcterms:modified xsi:type="dcterms:W3CDTF">2026-03-21T16:38:05.800Z</dcterms:modified>
</cp:coreProperties>
</file>

<file path=docProps/custom.xml><?xml version="1.0" encoding="utf-8"?>
<Properties xmlns="http://schemas.openxmlformats.org/officeDocument/2006/custom-properties" xmlns:vt="http://schemas.openxmlformats.org/officeDocument/2006/docPropsVTypes"/>
</file>