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60" w:after="0"/>
      </w:pPr>
      <w:r>
        <w:t xml:space="preserve"/>
      </w:r>
    </w:p>
    <w:p>
      <w:pPr>
        <w:spacing w:before="0" w:after="80"/>
        <w:jc w:val="center"/>
      </w:pPr>
      <w:r>
        <w:rPr>
          <w:rFonts w:ascii="Arial" w:cs="Arial" w:eastAsia="Arial" w:hAnsi="Arial"/>
          <w:b/>
          <w:bCs/>
          <w:color w:val="1A3C6B"/>
          <w:sz w:val="28"/>
          <w:szCs w:val="28"/>
        </w:rPr>
        <w:t xml:space="preserve">PT Equity Life Indonesia</w:t>
      </w:r>
    </w:p>
    <w:p>
      <w:pPr>
        <w:spacing w:before="0" w:after="400"/>
        <w:jc w:val="center"/>
      </w:pPr>
      <w:r>
        <w:rPr>
          <w:rFonts w:ascii="Arial" w:cs="Arial" w:eastAsia="Arial" w:hAnsi="Arial"/>
          <w:color w:val="666666"/>
          <w:sz w:val="22"/>
          <w:szCs w:val="22"/>
        </w:rPr>
        <w:t xml:space="preserve">Technology &amp; Information Directorate</w:t>
      </w:r>
    </w:p>
    <w:p>
      <w:pPr>
        <w:spacing w:before="200" w:after="0"/>
      </w:pPr>
      <w:r>
        <w:t xml:space="preserve"/>
      </w:r>
    </w:p>
    <w:p>
      <w:pPr>
        <w:spacing w:before="0" w:after="120"/>
        <w:jc w:val="center"/>
      </w:pPr>
      <w:r>
        <w:rPr>
          <w:rFonts w:ascii="Arial" w:cs="Arial" w:eastAsia="Arial" w:hAnsi="Arial"/>
          <w:b/>
          <w:bCs/>
          <w:color w:val="C8A84B"/>
          <w:sz w:val="22"/>
          <w:szCs w:val="22"/>
        </w:rPr>
        <w:t xml:space="preserve">PROSEDUR OPERASIONAL</w:t>
      </w:r>
    </w:p>
    <w:p>
      <w:pPr>
        <w:pBdr>
          <w:top w:val="single" w:color="C8A84B" w:sz="4" w:space="4"/>
          <w:bottom w:val="single" w:color="C8A84B" w:sz="4" w:space="4"/>
        </w:pBdr>
        <w:spacing w:before="0" w:after="240"/>
        <w:jc w:val="center"/>
      </w:pPr>
      <w:r>
        <w:rPr>
          <w:rFonts w:ascii="Arial" w:cs="Arial" w:eastAsia="Arial" w:hAnsi="Arial"/>
          <w:b/>
          <w:bCs/>
          <w:color w:val="1A3C6B"/>
          <w:sz w:val="40"/>
          <w:szCs w:val="40"/>
        </w:rPr>
        <w:t xml:space="preserve">Prosedur Penarikan Persetujuan (Withdrawal of Consent)</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ELI-PDPISO27701-008</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C00000"/>
                <w:sz w:val="20"/>
                <w:szCs w:val="20"/>
              </w:rPr>
              <w:t xml:space="preserve">: RAHASIA — Internal</w:t>
            </w:r>
          </w:p>
        </w:tc>
      </w:tr>
    </w:tbl>
    <w:p>
      <w:pPr>
        <w:spacing w:before="60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Style w:val="Heading1"/>
        <w:pBdr>
          <w:bottom w:val="single" w:color="1A3C6B" w:sz="8" w:space="4"/>
        </w:pBdr>
        <w:spacing w:before="280" w:after="140"/>
      </w:pPr>
      <w:r>
        <w:rPr>
          <w:rFonts w:ascii="Arial" w:cs="Arial" w:eastAsia="Arial" w:hAnsi="Arial"/>
          <w:b/>
          <w:bCs/>
          <w:color w:val="1A3C6B"/>
          <w:sz w:val="32"/>
          <w:szCs w:val="32"/>
        </w:rPr>
        <w:t xml:space="preserve">1. Tujuan dan Dasar Hukum</w:t>
      </w:r>
    </w:p>
    <w:p>
      <w:pPr>
        <w:spacing w:before="60" w:after="60"/>
      </w:pPr>
      <w:r>
        <w:rPr>
          <w:rFonts w:ascii="Arial" w:cs="Arial" w:eastAsia="Arial" w:hAnsi="Arial"/>
          <w:color w:val="404040"/>
          <w:sz w:val="20"/>
          <w:szCs w:val="20"/>
        </w:rPr>
        <w:t xml:space="preserve">Prosedur ini menetapkan mekanisme, alur kerja, dan tanggung jawab dalam menangani permintaan penarikan persetujuan (withdrawal of consent) pemrosesan data pribadi dari subjek data, sesuai dengan UU PDP Pasal 22 yang menyatakan bahwa subjek data berhak menarik persetujuannya atas pemrosesan data pribadi yang didasarkan pada persetujuan tersebut kapan saja.</w:t>
      </w:r>
    </w:p>
    <w:p>
      <w:pPr>
        <w:spacing w:before="60" w:after="60"/>
      </w:pPr>
      <w:r>
        <w:rPr>
          <w:rFonts w:ascii="Arial" w:cs="Arial" w:eastAsia="Arial" w:hAnsi="Arial"/>
          <w:color w:val="404040"/>
          <w:sz w:val="20"/>
          <w:szCs w:val="20"/>
        </w:rPr>
        <w:t xml:space="preserve">Penarikan persetujuan tidak mempengaruhi keabsahan pemrosesan yang telah dilakukan sebelumnya berdasarkan persetujuan tersebut. Namun, PT Equity Life Indonesia wajib menghentikan pemrosesan yang didasarkan pada persetujuan tersebut setelah persetujuan ditarik, kecuali jika terdapat dasar hukum lain yang menghendaki pemrosesan dilanjutkan.</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2. Ruang Lingkup</w:t>
      </w:r>
    </w:p>
    <w:p>
      <w:pPr>
        <w:spacing w:before="60" w:after="60"/>
      </w:pPr>
      <w:r>
        <w:rPr>
          <w:rFonts w:ascii="Arial" w:cs="Arial" w:eastAsia="Arial" w:hAnsi="Arial"/>
          <w:color w:val="404040"/>
          <w:sz w:val="20"/>
          <w:szCs w:val="20"/>
        </w:rPr>
        <w:t xml:space="preserve">Prosedur ini berlaku untuk penarikan persetujuan atas pemrosesan yang didasarkan pada consent (bukan kontrak atau kewajiban hukum). Prosedur ini tidak berlaku untuk:</w:t>
      </w:r>
    </w:p>
    <w:p>
      <w:pPr>
        <w:pStyle w:val="ListParagraph"/>
        <w:numPr>
          <w:ilvl w:val="0"/>
          <w:numId w:val="2"/>
        </w:numPr>
        <w:spacing w:before="40" w:after="40"/>
      </w:pPr>
      <w:r>
        <w:rPr>
          <w:rFonts w:ascii="Arial" w:cs="Arial" w:eastAsia="Arial" w:hAnsi="Arial"/>
          <w:color w:val="404040"/>
          <w:sz w:val="20"/>
          <w:szCs w:val="20"/>
        </w:rPr>
        <w:t xml:space="preserve">Pemrosesan yang didasarkan pada pelaksanaan kontrak polis yang aktif — penghentian pemrosesan hanya dapat dilakukan melalui pengakhiran polis</w:t>
      </w:r>
    </w:p>
    <w:p>
      <w:pPr>
        <w:pStyle w:val="ListParagraph"/>
        <w:numPr>
          <w:ilvl w:val="0"/>
          <w:numId w:val="2"/>
        </w:numPr>
        <w:spacing w:before="40" w:after="40"/>
      </w:pPr>
      <w:r>
        <w:rPr>
          <w:rFonts w:ascii="Arial" w:cs="Arial" w:eastAsia="Arial" w:hAnsi="Arial"/>
          <w:color w:val="404040"/>
          <w:sz w:val="20"/>
          <w:szCs w:val="20"/>
        </w:rPr>
        <w:t xml:space="preserve">Pemrosesan yang diwajibkan oleh hukum, misalnya pelaporan kepada OJK atau program APU-PPT</w:t>
      </w:r>
    </w:p>
    <w:p>
      <w:pPr>
        <w:pStyle w:val="ListParagraph"/>
        <w:numPr>
          <w:ilvl w:val="0"/>
          <w:numId w:val="2"/>
        </w:numPr>
        <w:spacing w:before="40" w:after="40"/>
      </w:pPr>
      <w:r>
        <w:rPr>
          <w:rFonts w:ascii="Arial" w:cs="Arial" w:eastAsia="Arial" w:hAnsi="Arial"/>
          <w:color w:val="404040"/>
          <w:sz w:val="20"/>
          <w:szCs w:val="20"/>
        </w:rPr>
        <w:t xml:space="preserve">Pemrosesan yang diperlukan untuk melindungi kepentingan vital dalam situasi darurat</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3. Saluran Pengajuan Penarikan Persetujuan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2500"/>
        <w:gridCol w:w="15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Saluran</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Cara Pengajuan</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Tersedia untuk</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Waktu Respons</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Aplikasi Mobile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Menu: Profil &gt; Pengaturan &gt; Privasi &gt; Tarik Persetujuan; pilih tujuan pemrosesan yang ingin ditarik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Nasabah pengguna aplikasi</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Real-time (otomatis)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Portal Web</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URL: equitylife.co.id/privacy/withdraw; login dan pilih tujuan pemrosesan yang ditarik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Nasabah dengan akun web</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Real-time (otomatis)</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Email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Kirim email ke: privacy@equitylife.co.id dengan subjek: [Penarikan Persetujuan] - Nama - No. Polis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Semua subjek data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Maks. 3x24 jam</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Tertulis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Mengisi Formulir Penarikan Persetujuan (Lampiran 1 prosedur ini) dan menyerahkan ke kantor cabang terdekat atau dikirim via pos tercatat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Semua subjek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Maks. 5 hari kerja</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Customer Care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Hubungi 1500-XXX dan verifikasi identitas; agen CS akan memproses setelah verifikasi identitas berhasil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Semua subjek data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Maks. 3x24 jam</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4. Alur Kerja Penarikan Persetujuan</w:t>
      </w:r>
    </w:p>
    <w:p>
      <w:pPr>
        <w:pStyle w:val="Heading2"/>
        <w:spacing w:before="220" w:after="100"/>
      </w:pPr>
      <w:r>
        <w:rPr>
          <w:rFonts w:ascii="Arial" w:cs="Arial" w:eastAsia="Arial" w:hAnsi="Arial"/>
          <w:b/>
          <w:bCs/>
          <w:color w:val="2563A8"/>
          <w:sz w:val="26"/>
          <w:szCs w:val="26"/>
        </w:rPr>
        <w:t xml:space="preserve">4.1 Saluran Digital (Aplikasi &amp; Portal Web)</w:t>
      </w:r>
    </w:p>
    <w:p>
      <w:pPr>
        <w:pStyle w:val="ListParagraph"/>
        <w:numPr>
          <w:ilvl w:val="0"/>
          <w:numId w:val="3"/>
        </w:numPr>
        <w:spacing w:before="60" w:after="60"/>
      </w:pPr>
      <w:r>
        <w:rPr>
          <w:rFonts w:ascii="Arial" w:cs="Arial" w:eastAsia="Arial" w:hAnsi="Arial"/>
          <w:color w:val="404040"/>
          <w:sz w:val="20"/>
          <w:szCs w:val="20"/>
        </w:rPr>
        <w:t xml:space="preserve">Nasabah mengakses menu Privasi di aplikasi atau portal web dan memilih tujuan pemrosesan yang ingin ditarik persetujuannya</w:t>
      </w:r>
    </w:p>
    <w:p>
      <w:pPr>
        <w:pStyle w:val="ListParagraph"/>
        <w:numPr>
          <w:ilvl w:val="0"/>
          <w:numId w:val="3"/>
        </w:numPr>
        <w:spacing w:before="60" w:after="60"/>
      </w:pPr>
      <w:r>
        <w:rPr>
          <w:rFonts w:ascii="Arial" w:cs="Arial" w:eastAsia="Arial" w:hAnsi="Arial"/>
          <w:color w:val="404040"/>
          <w:sz w:val="20"/>
          <w:szCs w:val="20"/>
        </w:rPr>
        <w:t xml:space="preserve">Sistem menampilkan konfirmasi yang menjelaskan dampak penarikan persetujuan (misalnya: tidak akan menerima informasi produk terbaru)</w:t>
      </w:r>
    </w:p>
    <w:p>
      <w:pPr>
        <w:pStyle w:val="ListParagraph"/>
        <w:numPr>
          <w:ilvl w:val="0"/>
          <w:numId w:val="3"/>
        </w:numPr>
        <w:spacing w:before="60" w:after="60"/>
      </w:pPr>
      <w:r>
        <w:rPr>
          <w:rFonts w:ascii="Arial" w:cs="Arial" w:eastAsia="Arial" w:hAnsi="Arial"/>
          <w:color w:val="404040"/>
          <w:sz w:val="20"/>
          <w:szCs w:val="20"/>
        </w:rPr>
        <w:t xml:space="preserve">Nasabah mengkonfirmasi penarikan; sistem mencatat withdrawal_timestamp dan purposes_withdrawn dalam database consent</w:t>
      </w:r>
    </w:p>
    <w:p>
      <w:pPr>
        <w:pStyle w:val="ListParagraph"/>
        <w:numPr>
          <w:ilvl w:val="0"/>
          <w:numId w:val="3"/>
        </w:numPr>
        <w:spacing w:before="60" w:after="60"/>
      </w:pPr>
      <w:r>
        <w:rPr>
          <w:rFonts w:ascii="Arial" w:cs="Arial" w:eastAsia="Arial" w:hAnsi="Arial"/>
          <w:color w:val="404040"/>
          <w:sz w:val="20"/>
          <w:szCs w:val="20"/>
        </w:rPr>
        <w:t xml:space="preserve">Sistem secara otomatis memperbarui preferensi pemrosesan: menghentikan pengiriman komunikasi pemasaran, menghapus dari daftar distribusi marketing</w:t>
      </w:r>
    </w:p>
    <w:p>
      <w:pPr>
        <w:pStyle w:val="ListParagraph"/>
        <w:numPr>
          <w:ilvl w:val="0"/>
          <w:numId w:val="3"/>
        </w:numPr>
        <w:spacing w:before="60" w:after="60"/>
      </w:pPr>
      <w:r>
        <w:rPr>
          <w:rFonts w:ascii="Arial" w:cs="Arial" w:eastAsia="Arial" w:hAnsi="Arial"/>
          <w:color w:val="404040"/>
          <w:sz w:val="20"/>
          <w:szCs w:val="20"/>
        </w:rPr>
        <w:t xml:space="preserve">Sistem mengirim konfirmasi penarikan via email yang terdaftar dalam waktu 1x24 jam</w:t>
      </w:r>
    </w:p>
    <w:p>
      <w:pPr>
        <w:pStyle w:val="ListParagraph"/>
        <w:numPr>
          <w:ilvl w:val="0"/>
          <w:numId w:val="3"/>
        </w:numPr>
        <w:spacing w:before="60" w:after="60"/>
      </w:pPr>
      <w:r>
        <w:rPr>
          <w:rFonts w:ascii="Arial" w:cs="Arial" w:eastAsia="Arial" w:hAnsi="Arial"/>
          <w:color w:val="404040"/>
          <w:sz w:val="20"/>
          <w:szCs w:val="20"/>
        </w:rPr>
        <w:t xml:space="preserve">Log penarikan disimpan dalam audit trail dengan detail: waktu, saluran, tujuan yang ditarik, ID pengguna</w:t>
      </w:r>
    </w:p>
    <w:p>
      <w:pPr>
        <w:spacing w:before="120" w:after="0"/>
      </w:pPr>
      <w:r>
        <w:t xml:space="preserve"/>
      </w:r>
    </w:p>
    <w:p>
      <w:pPr>
        <w:pStyle w:val="Heading2"/>
        <w:spacing w:before="220" w:after="100"/>
      </w:pPr>
      <w:r>
        <w:rPr>
          <w:rFonts w:ascii="Arial" w:cs="Arial" w:eastAsia="Arial" w:hAnsi="Arial"/>
          <w:b/>
          <w:bCs/>
          <w:color w:val="2563A8"/>
          <w:sz w:val="26"/>
          <w:szCs w:val="26"/>
        </w:rPr>
        <w:t xml:space="preserve">4.2 Saluran Non-Digital (Email, Tertulis, Customer Care)</w:t>
      </w:r>
    </w:p>
    <w:p>
      <w:pPr>
        <w:pStyle w:val="ListParagraph"/>
        <w:numPr>
          <w:ilvl w:val="0"/>
          <w:numId w:val="3"/>
        </w:numPr>
        <w:spacing w:before="60" w:after="60"/>
      </w:pPr>
      <w:r>
        <w:rPr>
          <w:rFonts w:ascii="Arial" w:cs="Arial" w:eastAsia="Arial" w:hAnsi="Arial"/>
          <w:color w:val="404040"/>
          <w:sz w:val="20"/>
          <w:szCs w:val="20"/>
        </w:rPr>
        <w:t xml:space="preserve">Permintaan diterima oleh Customer Care &amp; Engagement Programming atau melalui email privacy@equitylife.co.id</w:t>
      </w:r>
    </w:p>
    <w:p>
      <w:pPr>
        <w:pStyle w:val="ListParagraph"/>
        <w:numPr>
          <w:ilvl w:val="0"/>
          <w:numId w:val="3"/>
        </w:numPr>
        <w:spacing w:before="60" w:after="60"/>
      </w:pPr>
      <w:r>
        <w:rPr>
          <w:rFonts w:ascii="Arial" w:cs="Arial" w:eastAsia="Arial" w:hAnsi="Arial"/>
          <w:color w:val="404040"/>
          <w:sz w:val="20"/>
          <w:szCs w:val="20"/>
        </w:rPr>
        <w:t xml:space="preserve">Petugas melakukan verifikasi identitas pemohon menggunakan minimal dua faktor verifikasi (nama, NIK/nomor polis + satu faktor tambahan)</w:t>
      </w:r>
    </w:p>
    <w:p>
      <w:pPr>
        <w:pStyle w:val="ListParagraph"/>
        <w:numPr>
          <w:ilvl w:val="0"/>
          <w:numId w:val="3"/>
        </w:numPr>
        <w:spacing w:before="60" w:after="60"/>
      </w:pPr>
      <w:r>
        <w:rPr>
          <w:rFonts w:ascii="Arial" w:cs="Arial" w:eastAsia="Arial" w:hAnsi="Arial"/>
          <w:color w:val="404040"/>
          <w:sz w:val="20"/>
          <w:szCs w:val="20"/>
        </w:rPr>
        <w:t xml:space="preserve">Petugas merekam permintaan dalam sistem ticketing dengan kategori 'Penarikan Persetujuan' dan menetapkan SLA berdasarkan saluran</w:t>
      </w:r>
    </w:p>
    <w:p>
      <w:pPr>
        <w:pStyle w:val="ListParagraph"/>
        <w:numPr>
          <w:ilvl w:val="0"/>
          <w:numId w:val="3"/>
        </w:numPr>
        <w:spacing w:before="60" w:after="60"/>
      </w:pPr>
      <w:r>
        <w:rPr>
          <w:rFonts w:ascii="Arial" w:cs="Arial" w:eastAsia="Arial" w:hAnsi="Arial"/>
          <w:color w:val="404040"/>
          <w:sz w:val="20"/>
          <w:szCs w:val="20"/>
        </w:rPr>
        <w:t xml:space="preserve">Ticket dieskalasikan kepada DPO atau tim Privacy untuk asesmen dampak — identifikasi dasar hukum alternatif yang masih berlaku setelah consent ditarik</w:t>
      </w:r>
    </w:p>
    <w:p>
      <w:pPr>
        <w:pStyle w:val="ListParagraph"/>
        <w:numPr>
          <w:ilvl w:val="0"/>
          <w:numId w:val="3"/>
        </w:numPr>
        <w:spacing w:before="60" w:after="60"/>
      </w:pPr>
      <w:r>
        <w:rPr>
          <w:rFonts w:ascii="Arial" w:cs="Arial" w:eastAsia="Arial" w:hAnsi="Arial"/>
          <w:color w:val="404040"/>
          <w:sz w:val="20"/>
          <w:szCs w:val="20"/>
        </w:rPr>
        <w:t xml:space="preserve">Jika terdapat konflik (misalnya: pemrosesan juga didasarkan pada kontrak atau kewajiban hukum), tim Privacy memberikan penjelasan kepada nasabah mengenai pemrosesan yang tetap dilanjutkan beserta dasarnya</w:t>
      </w:r>
    </w:p>
    <w:p>
      <w:pPr>
        <w:pStyle w:val="ListParagraph"/>
        <w:numPr>
          <w:ilvl w:val="0"/>
          <w:numId w:val="3"/>
        </w:numPr>
        <w:spacing w:before="60" w:after="60"/>
      </w:pPr>
      <w:r>
        <w:rPr>
          <w:rFonts w:ascii="Arial" w:cs="Arial" w:eastAsia="Arial" w:hAnsi="Arial"/>
          <w:color w:val="404040"/>
          <w:sz w:val="20"/>
          <w:szCs w:val="20"/>
        </w:rPr>
        <w:t xml:space="preserve">Tindakan penghentian pemrosesan dieksekusi dalam sistem: update status di CRM, hentikan distribusi marketing, perbarui RoPA</w:t>
      </w:r>
    </w:p>
    <w:p>
      <w:pPr>
        <w:pStyle w:val="ListParagraph"/>
        <w:numPr>
          <w:ilvl w:val="0"/>
          <w:numId w:val="3"/>
        </w:numPr>
        <w:spacing w:before="60" w:after="60"/>
      </w:pPr>
      <w:r>
        <w:rPr>
          <w:rFonts w:ascii="Arial" w:cs="Arial" w:eastAsia="Arial" w:hAnsi="Arial"/>
          <w:color w:val="404040"/>
          <w:sz w:val="20"/>
          <w:szCs w:val="20"/>
        </w:rPr>
        <w:t xml:space="preserve">Konfirmasi tertulis dikirim kepada pemohon melalui email atau pos sesuai preferensi dalam waktu SLA yang berlaku</w:t>
      </w:r>
    </w:p>
    <w:p>
      <w:pPr>
        <w:spacing w:before="120" w:after="0"/>
      </w:pPr>
      <w:r>
        <w:t xml:space="preserve"/>
      </w:r>
    </w:p>
    <w:p>
      <w:pPr>
        <w:pStyle w:val="Heading2"/>
        <w:spacing w:before="220" w:after="100"/>
      </w:pPr>
      <w:r>
        <w:rPr>
          <w:rFonts w:ascii="Arial" w:cs="Arial" w:eastAsia="Arial" w:hAnsi="Arial"/>
          <w:b/>
          <w:bCs/>
          <w:color w:val="2563A8"/>
          <w:sz w:val="26"/>
          <w:szCs w:val="26"/>
        </w:rPr>
        <w:t xml:space="preserve">4.3 Diagram Alur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DCE6F1" w:sz="4"/>
              <w:left w:val="single" w:color="DCE6F1" w:sz="4"/>
              <w:bottom w:val="single" w:color="DCE6F1" w:sz="4"/>
              <w:right w:val="single" w:color="DCE6F1" w:sz="4"/>
            </w:tcBorders>
            <w:shd w:fill="EEF4FB" w:val="clear"/>
            <w:tcMar>
              <w:top w:type="dxa" w:w="120"/>
              <w:left w:type="dxa" w:w="200"/>
              <w:bottom w:type="dxa" w:w="120"/>
              <w:right w:type="dxa" w:w="200"/>
            </w:tcMar>
          </w:tcPr>
          <w:p>
            <w:pPr>
              <w:spacing w:before="0" w:after="80"/>
              <w:jc w:val="center"/>
            </w:pPr>
            <w:r>
              <w:rPr>
                <w:rFonts w:ascii="Arial" w:cs="Arial" w:eastAsia="Arial" w:hAnsi="Arial"/>
                <w:b/>
                <w:bCs/>
                <w:color w:val="1A3C6B"/>
                <w:sz w:val="20"/>
                <w:szCs w:val="20"/>
              </w:rPr>
              <w:t xml:space="preserve">Permintaan Penarikan Consent Diterima</w:t>
            </w:r>
          </w:p>
          <w:p>
            <w:pPr>
              <w:spacing w:before="0" w:after="80"/>
              <w:jc w:val="center"/>
            </w:pPr>
            <w:r>
              <w:rPr>
                <w:rFonts w:ascii="Arial" w:cs="Arial" w:eastAsia="Arial" w:hAnsi="Arial"/>
                <w:b/>
                <w:bCs/>
                <w:color w:val="2563A8"/>
                <w:sz w:val="20"/>
                <w:szCs w:val="20"/>
              </w:rPr>
              <w:t xml:space="preserve">▼</w:t>
            </w:r>
          </w:p>
          <w:p>
            <w:pPr>
              <w:spacing w:before="0" w:after="80"/>
              <w:jc w:val="center"/>
            </w:pPr>
            <w:r>
              <w:rPr>
                <w:rFonts w:ascii="Arial" w:cs="Arial" w:eastAsia="Arial" w:hAnsi="Arial"/>
                <w:b/>
                <w:bCs/>
                <w:color w:val="1A3C6B"/>
                <w:sz w:val="20"/>
                <w:szCs w:val="20"/>
              </w:rPr>
              <w:t xml:space="preserve">Verifikasi Identitas Pemohon</w:t>
            </w:r>
          </w:p>
          <w:p>
            <w:pPr>
              <w:spacing w:before="0" w:after="80"/>
              <w:jc w:val="center"/>
            </w:pPr>
            <w:r>
              <w:rPr>
                <w:rFonts w:ascii="Arial" w:cs="Arial" w:eastAsia="Arial" w:hAnsi="Arial"/>
                <w:b/>
                <w:bCs/>
                <w:color w:val="2563A8"/>
                <w:sz w:val="20"/>
                <w:szCs w:val="20"/>
              </w:rPr>
              <w:t xml:space="preserve">▼</w:t>
            </w:r>
          </w:p>
          <w:p>
            <w:pPr>
              <w:spacing w:before="0" w:after="80"/>
              <w:jc w:val="center"/>
            </w:pPr>
            <w:r>
              <w:rPr>
                <w:rFonts w:ascii="Arial" w:cs="Arial" w:eastAsia="Arial" w:hAnsi="Arial"/>
                <w:b/>
                <w:bCs/>
                <w:color w:val="1A3C6B"/>
                <w:sz w:val="20"/>
                <w:szCs w:val="20"/>
              </w:rPr>
              <w:t xml:space="preserve">Asesmen Dasar Hukum Alternatif oleh DPO/Privacy Team</w:t>
            </w:r>
          </w:p>
          <w:p>
            <w:pPr>
              <w:spacing w:before="0" w:after="80"/>
              <w:jc w:val="center"/>
            </w:pPr>
            <w:r>
              <w:rPr>
                <w:rFonts w:ascii="Arial" w:cs="Arial" w:eastAsia="Arial" w:hAnsi="Arial"/>
                <w:i/>
                <w:iCs/>
                <w:color w:val="666666"/>
                <w:sz w:val="18"/>
                <w:szCs w:val="18"/>
              </w:rPr>
              <w:t xml:space="preserve">▼  (Jika ada pemrosesan wajib/kontrak: informasikan kepada nasabah)  ▼</w:t>
            </w:r>
          </w:p>
          <w:p>
            <w:pPr>
              <w:spacing w:before="0" w:after="80"/>
              <w:jc w:val="center"/>
            </w:pPr>
            <w:r>
              <w:rPr>
                <w:rFonts w:ascii="Arial" w:cs="Arial" w:eastAsia="Arial" w:hAnsi="Arial"/>
                <w:b/>
                <w:bCs/>
                <w:color w:val="1A3C6B"/>
                <w:sz w:val="20"/>
                <w:szCs w:val="20"/>
              </w:rPr>
              <w:t xml:space="preserve">Hentikan Pemrosesan Berbasis Consent dalam Semua Sistem</w:t>
            </w:r>
          </w:p>
          <w:p>
            <w:pPr>
              <w:spacing w:before="0" w:after="80"/>
              <w:jc w:val="center"/>
            </w:pPr>
            <w:r>
              <w:rPr>
                <w:rFonts w:ascii="Arial" w:cs="Arial" w:eastAsia="Arial" w:hAnsi="Arial"/>
                <w:b/>
                <w:bCs/>
                <w:color w:val="2563A8"/>
                <w:sz w:val="20"/>
                <w:szCs w:val="20"/>
              </w:rPr>
              <w:t xml:space="preserve">▼</w:t>
            </w:r>
          </w:p>
          <w:p>
            <w:pPr>
              <w:spacing w:before="0" w:after="80"/>
              <w:jc w:val="center"/>
            </w:pPr>
            <w:r>
              <w:rPr>
                <w:rFonts w:ascii="Arial" w:cs="Arial" w:eastAsia="Arial" w:hAnsi="Arial"/>
                <w:b/>
                <w:bCs/>
                <w:color w:val="1A3C6B"/>
                <w:sz w:val="20"/>
                <w:szCs w:val="20"/>
              </w:rPr>
              <w:t xml:space="preserve">Perbarui RoPA &amp; Audit Trail</w:t>
            </w:r>
          </w:p>
          <w:p>
            <w:pPr>
              <w:spacing w:before="0" w:after="0"/>
              <w:jc w:val="center"/>
            </w:pPr>
            <w:r>
              <w:rPr>
                <w:rFonts w:ascii="Arial" w:cs="Arial" w:eastAsia="Arial" w:hAnsi="Arial"/>
                <w:b/>
                <w:bCs/>
                <w:color w:val="2563A8"/>
                <w:sz w:val="20"/>
                <w:szCs w:val="20"/>
              </w:rPr>
              <w:t xml:space="preserve">▼</w:t>
            </w:r>
          </w:p>
          <w:p>
            <w:pPr>
              <w:spacing w:before="0" w:after="0"/>
              <w:jc w:val="center"/>
            </w:pPr>
            <w:r>
              <w:rPr>
                <w:rFonts w:ascii="Arial" w:cs="Arial" w:eastAsia="Arial" w:hAnsi="Arial"/>
                <w:b/>
                <w:bCs/>
                <w:color w:val="1A3C6B"/>
                <w:sz w:val="20"/>
                <w:szCs w:val="20"/>
              </w:rPr>
              <w:t xml:space="preserve">Kirim Konfirmasi Penarikan kepada Subjek Data</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5. Dampak Penarikan Persetujuan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1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Tujuan Pemrosesan</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Dampak Penarikan</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Catatan</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Pemasaran &amp; promosi produk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DIHENTIKAN — tidak ada lagi komunikasi promosi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Berlaku dalam 3x24 jam</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Administrasi polis aktif</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TIDAK TERPENGARUH — didasarkan pada kontrak polis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Polis tetap berjalan normal</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Proses klaim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TIDAK TERPENGARUH — didasarkan pada kontrak polis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Klaim tetap dapat diproses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e-KYC / verifikasi biometrik untuk fitur baru</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DIHENTIKAN untuk fitur baru; data biometrik dihapus dalam 30 hari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Perlu consent baru jika ingin menggunakan kembali</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Pelaporan ke OJK &amp; program APU-PPT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TIDAK TERPENGARUH — didasarkan pada kewajiban hukum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Penarikan consent tidak menghentikan kewajiban hukum</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Berbagi data dengan dokter / RS untuk klaim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TIDAK TERPENGARUH — didasarkan pada kontrak polis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Diperlukan untuk memproses klaim</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6. Dokumen Terkait</w:t>
      </w:r>
    </w:p>
    <w:p>
      <w:pPr>
        <w:pStyle w:val="ListParagraph"/>
        <w:numPr>
          <w:ilvl w:val="0"/>
          <w:numId w:val="2"/>
        </w:numPr>
        <w:spacing w:before="40" w:after="40"/>
      </w:pPr>
      <w:r>
        <w:rPr>
          <w:rFonts w:ascii="Arial" w:cs="Arial" w:eastAsia="Arial" w:hAnsi="Arial"/>
          <w:color w:val="404040"/>
          <w:sz w:val="20"/>
          <w:szCs w:val="20"/>
        </w:rPr>
        <w:t xml:space="preserve">ELI-PDPISO27701-007 — Template Formulir Persetujuan</w:t>
      </w:r>
    </w:p>
    <w:p>
      <w:pPr>
        <w:pStyle w:val="ListParagraph"/>
        <w:numPr>
          <w:ilvl w:val="0"/>
          <w:numId w:val="2"/>
        </w:numPr>
        <w:spacing w:before="40" w:after="40"/>
      </w:pPr>
      <w:r>
        <w:rPr>
          <w:rFonts w:ascii="Arial" w:cs="Arial" w:eastAsia="Arial" w:hAnsi="Arial"/>
          <w:color w:val="404040"/>
          <w:sz w:val="20"/>
          <w:szCs w:val="20"/>
        </w:rPr>
        <w:t xml:space="preserve">ELI-PDPISO27701-009 — Prosedur Pemenuhan Hak Akses (SAR)</w:t>
      </w:r>
    </w:p>
    <w:p>
      <w:pPr>
        <w:pStyle w:val="ListParagraph"/>
        <w:numPr>
          <w:ilvl w:val="0"/>
          <w:numId w:val="2"/>
        </w:numPr>
        <w:spacing w:before="40" w:after="40"/>
      </w:pPr>
      <w:r>
        <w:rPr>
          <w:rFonts w:ascii="Arial" w:cs="Arial" w:eastAsia="Arial" w:hAnsi="Arial"/>
          <w:color w:val="404040"/>
          <w:sz w:val="20"/>
          <w:szCs w:val="20"/>
        </w:rPr>
        <w:t xml:space="preserve">ELI-PDPISO27701-018 — Kebijakan Retensi Data Pribadi</w:t>
      </w:r>
    </w:p>
    <w:p>
      <w:pPr>
        <w:pStyle w:val="ListParagraph"/>
        <w:numPr>
          <w:ilvl w:val="0"/>
          <w:numId w:val="2"/>
        </w:numPr>
        <w:spacing w:before="40" w:after="40"/>
      </w:pPr>
      <w:r>
        <w:rPr>
          <w:rFonts w:ascii="Arial" w:cs="Arial" w:eastAsia="Arial" w:hAnsi="Arial"/>
          <w:color w:val="404040"/>
          <w:sz w:val="20"/>
          <w:szCs w:val="20"/>
        </w:rPr>
        <w:t xml:space="preserve">ELI-PDPISO27701-022 — Privacy Risk Register</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7. Persetujuan Dokumen</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Disusun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Diperiksa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Disetujui oleh</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r>
      <w:tr>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DPO / Privacy Officer</w:t>
            </w:r>
          </w:p>
          <w:p>
            <w:pPr>
              <w:jc w:val="center"/>
            </w:pPr>
            <w:r>
              <w:rPr>
                <w:rFonts w:ascii="Arial" w:cs="Arial" w:eastAsia="Arial" w:hAnsi="Arial"/>
                <w:color w:val="666666"/>
                <w:sz w:val="18"/>
                <w:szCs w:val="18"/>
              </w:rPr>
              <w:t xml:space="preserve">IT Security &amp; Governance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Head of Customer Care</w:t>
            </w:r>
          </w:p>
          <w:p>
            <w:pPr>
              <w:jc w:val="center"/>
            </w:pPr>
            <w:r>
              <w:rPr>
                <w:rFonts w:ascii="Arial" w:cs="Arial" w:eastAsia="Arial" w:hAnsi="Arial"/>
                <w:color w:val="666666"/>
                <w:sz w:val="18"/>
                <w:szCs w:val="18"/>
              </w:rPr>
              <w:t xml:space="preserve">Operation Directorate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Direktur Technology &amp; Information</w:t>
            </w:r>
          </w:p>
          <w:p>
            <w:pPr>
              <w:jc w:val="center"/>
            </w:pPr>
            <w:r>
              <w:rPr>
                <w:rFonts w:ascii="Arial" w:cs="Arial" w:eastAsia="Arial" w:hAnsi="Arial"/>
                <w:color w:val="666666"/>
                <w:sz w:val="18"/>
                <w:szCs w:val="18"/>
              </w:rPr>
              <w:t xml:space="preserve">PT Equity Life Indonesia</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Prosedur Penarikan Persetujuan (Withdrawal of Consent)</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ELI-PDPISO27701-008</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2026-03-21T16:38:06.008Z</dcterms:created>
  <dcterms:modified xsi:type="dcterms:W3CDTF">2026-03-21T16:38:06.008Z</dcterms:modified>
</cp:coreProperties>
</file>

<file path=docProps/custom.xml><?xml version="1.0" encoding="utf-8"?>
<Properties xmlns="http://schemas.openxmlformats.org/officeDocument/2006/custom-properties" xmlns:vt="http://schemas.openxmlformats.org/officeDocument/2006/docPropsVTypes"/>
</file>