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6B" w:sz="60" w:space="0"/>
        </w:pBdr>
        <w:shd w:fill="1A3C6B" w:val="clear"/>
        <w:spacing w:before="0" w:after="0"/>
      </w:pPr>
      <w:r>
        <w:rPr>
          <w:sz w:val="60"/>
          <w:szCs w:val="60"/>
        </w:rPr>
        <w:t xml:space="preserve"/>
      </w:r>
    </w:p>
    <w:p>
      <w:pPr>
        <w:spacing w:before="560" w:after="0"/>
      </w:pPr>
      <w:r>
        <w:t xml:space="preserve"/>
      </w:r>
    </w:p>
    <w:p>
      <w:pPr>
        <w:spacing w:before="0" w:after="80"/>
        <w:jc w:val="center"/>
      </w:pPr>
      <w:r>
        <w:rPr>
          <w:rFonts w:ascii="Arial" w:cs="Arial" w:eastAsia="Arial" w:hAnsi="Arial"/>
          <w:b/>
          <w:bCs/>
          <w:color w:val="1A3C6B"/>
          <w:sz w:val="28"/>
          <w:szCs w:val="28"/>
        </w:rPr>
        <w:t xml:space="preserve">PT Equity Life Indonesia</w:t>
      </w:r>
    </w:p>
    <w:p>
      <w:pPr>
        <w:spacing w:before="0" w:after="400"/>
        <w:jc w:val="center"/>
      </w:pPr>
      <w:r>
        <w:rPr>
          <w:rFonts w:ascii="Arial" w:cs="Arial" w:eastAsia="Arial" w:hAnsi="Arial"/>
          <w:color w:val="666666"/>
          <w:sz w:val="22"/>
          <w:szCs w:val="22"/>
        </w:rPr>
        <w:t xml:space="preserve">Technology &amp; Information Directorate</w:t>
      </w:r>
    </w:p>
    <w:p>
      <w:pPr>
        <w:spacing w:before="200" w:after="0"/>
      </w:pPr>
      <w:r>
        <w:t xml:space="preserve"/>
      </w:r>
    </w:p>
    <w:p>
      <w:pPr>
        <w:spacing w:before="0" w:after="120"/>
        <w:jc w:val="center"/>
      </w:pPr>
      <w:r>
        <w:rPr>
          <w:rFonts w:ascii="Arial" w:cs="Arial" w:eastAsia="Arial" w:hAnsi="Arial"/>
          <w:b/>
          <w:bCs/>
          <w:color w:val="C8A84B"/>
          <w:sz w:val="22"/>
          <w:szCs w:val="22"/>
        </w:rPr>
        <w:t xml:space="preserve">PROSEDUR OPERASIONAL</w:t>
      </w:r>
    </w:p>
    <w:p>
      <w:pPr>
        <w:pBdr>
          <w:top w:val="single" w:color="C8A84B" w:sz="4" w:space="4"/>
          <w:bottom w:val="single" w:color="C8A84B" w:sz="4" w:space="4"/>
        </w:pBdr>
        <w:spacing w:before="0" w:after="240"/>
        <w:jc w:val="center"/>
      </w:pPr>
      <w:r>
        <w:rPr>
          <w:rFonts w:ascii="Arial" w:cs="Arial" w:eastAsia="Arial" w:hAnsi="Arial"/>
          <w:b/>
          <w:bCs/>
          <w:color w:val="1A3C6B"/>
          <w:sz w:val="38"/>
          <w:szCs w:val="38"/>
        </w:rPr>
        <w:t xml:space="preserve">Prosedur Notifikasi Kebocoran Data Pribadi</w:t>
      </w:r>
    </w:p>
    <w:p>
      <w:pPr>
        <w:spacing w:before="400" w:after="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tblGrid>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Kode Dokumen</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ELI-PDPISO27701-017</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Versi</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Versi 1.0</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Tanggal Berlaku</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Maret 2026</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Klasifikasi</w:t>
            </w:r>
          </w:p>
        </w:tc>
        <w:tc>
          <w:tcPr>
            <w:tcW w:type="dxa" w:w="3600"/>
            <w:tcBorders>
              <w:top w:val="none" w:color="FFFFFF" w:sz="0"/>
              <w:left w:val="none" w:color="FFFFFF" w:sz="0"/>
              <w:bottom w:val="none" w:color="FFFFFF" w:sz="0"/>
              <w:right w:val="none" w:color="FFFFFF" w:sz="0"/>
            </w:tcBorders>
          </w:tcPr>
          <w:p>
            <w:r>
              <w:rPr>
                <w:rFonts w:ascii="Arial" w:cs="Arial" w:eastAsia="Arial" w:hAnsi="Arial"/>
                <w:b w:val="false"/>
                <w:bCs w:val="false"/>
                <w:color w:val="C00000"/>
                <w:sz w:val="20"/>
                <w:szCs w:val="20"/>
              </w:rPr>
              <w:t xml:space="preserve">: RAHASIA — Internal</w:t>
            </w:r>
          </w:p>
        </w:tc>
      </w:tr>
    </w:tbl>
    <w:p>
      <w:pPr>
        <w:spacing w:before="600" w:after="0"/>
      </w:pPr>
      <w:r>
        <w:t xml:space="preserve"/>
      </w:r>
    </w:p>
    <w:p>
      <w:pPr>
        <w:pBdr>
          <w:top w:val="single" w:color="CCCCCC" w:sz="4" w:space="4"/>
        </w:pBdr>
        <w:spacing w:before="0" w:after="0"/>
        <w:jc w:val="center"/>
      </w:pPr>
      <w:r>
        <w:rPr>
          <w:rFonts w:ascii="Arial" w:cs="Arial" w:eastAsia="Arial" w:hAnsi="Arial"/>
          <w:i/>
          <w:iCs/>
          <w:color w:val="666666"/>
          <w:sz w:val="16"/>
          <w:szCs w:val="16"/>
        </w:rPr>
        <w:t xml:space="preserve">© 2026 PT Equity Life Indonesia. Dokumen ini bersifat rahasia dan hanya untuk penggunaan internal.</w:t>
      </w:r>
    </w:p>
    <w:p>
      <w:r>
        <w:br w:type="page"/>
      </w:r>
    </w:p>
    <w:p>
      <w:pPr>
        <w:pStyle w:val="Heading1"/>
        <w:pBdr>
          <w:bottom w:val="single" w:color="1A3C6B" w:sz="8" w:space="4"/>
        </w:pBdr>
        <w:spacing w:before="280" w:after="140"/>
      </w:pPr>
      <w:r>
        <w:rPr>
          <w:rFonts w:ascii="Arial" w:cs="Arial" w:eastAsia="Arial" w:hAnsi="Arial"/>
          <w:b/>
          <w:bCs/>
          <w:color w:val="1A3C6B"/>
          <w:sz w:val="32"/>
          <w:szCs w:val="32"/>
        </w:rPr>
        <w:t xml:space="preserve">1. Tujuan dan Dasar Hukum</w:t>
      </w:r>
    </w:p>
    <w:p>
      <w:pPr>
        <w:spacing w:before="60" w:after="60"/>
      </w:pPr>
      <w:r>
        <w:rPr>
          <w:rFonts w:ascii="Arial" w:cs="Arial" w:eastAsia="Arial" w:hAnsi="Arial"/>
          <w:color w:val="404040"/>
          <w:sz w:val="20"/>
          <w:szCs w:val="20"/>
        </w:rPr>
        <w:t xml:space="preserve">Prosedur ini menetapkan langkah-langkah wajib yang harus diambil oleh PT Equity Life Indonesia ketika terjadi insiden kebocoran, kehilangan, atau akses tidak sah terhadap data pribadi nasabah, karyawan, atau pihak terkait lainnya. Prosedur ini memenuhi kewajiban UU PDP Pasal 46 yang mewajibkan notifikasi kepada regulator dalam 14 hari kalender dan kepada subjek data dalam waktu yang tidak lebih lama dari itu.</w:t>
      </w:r>
    </w:p>
    <w:p>
      <w:pPr>
        <w:pBdr>
          <w:left w:val="single" w:color="C00000" w:sz="16" w:space="8"/>
        </w:pBdr>
        <w:shd w:fill="FFCCCC" w:val="clear"/>
        <w:spacing w:before="80" w:after="80"/>
        <w:ind w:left="360"/>
      </w:pPr>
      <w:r>
        <w:rPr>
          <w:rFonts w:ascii="Arial" w:cs="Arial" w:eastAsia="Arial" w:hAnsi="Arial"/>
          <w:i/>
          <w:iCs/>
          <w:color w:val="404040"/>
          <w:sz w:val="20"/>
          <w:szCs w:val="20"/>
        </w:rPr>
        <w:t xml:space="preserve">PERHATIAN PENTING: Kegagalan melaporkan insiden kebocoran data dalam batas waktu yang ditetapkan merupakan pelanggaran UU PDP yang dapat dikenai sanksi administratif dan pidana. Setiap personil yang menemukan atau menduga adanya insiden kebocoran data WAJIB melaporkan kepada DPO dalam waktu 1x24 jam.</w:t>
      </w:r>
    </w:p>
    <w:p>
      <w:pPr>
        <w:pStyle w:val="Heading1"/>
        <w:pBdr>
          <w:bottom w:val="single" w:color="1A3C6B" w:sz="8" w:space="4"/>
        </w:pBdr>
        <w:spacing w:before="280" w:after="140"/>
      </w:pPr>
      <w:r>
        <w:rPr>
          <w:rFonts w:ascii="Arial" w:cs="Arial" w:eastAsia="Arial" w:hAnsi="Arial"/>
          <w:b/>
          <w:bCs/>
          <w:color w:val="1A3C6B"/>
          <w:sz w:val="32"/>
          <w:szCs w:val="32"/>
        </w:rPr>
        <w:t xml:space="preserve">2. Definisi Insiden Kebocoran Data</w:t>
      </w:r>
    </w:p>
    <w:p>
      <w:pPr>
        <w:spacing w:before="60" w:after="60"/>
      </w:pPr>
      <w:r>
        <w:rPr>
          <w:rFonts w:ascii="Arial" w:cs="Arial" w:eastAsia="Arial" w:hAnsi="Arial"/>
          <w:color w:val="404040"/>
          <w:sz w:val="20"/>
          <w:szCs w:val="20"/>
        </w:rPr>
        <w:t xml:space="preserve">Kebocoran data pribadi mencakup setiap insiden keamanan yang menyebabkan:</w:t>
      </w:r>
    </w:p>
    <w:p>
      <w:pPr>
        <w:pStyle w:val="ListParagraph"/>
        <w:numPr>
          <w:ilvl w:val="0"/>
          <w:numId w:val="2"/>
        </w:numPr>
        <w:spacing w:before="40" w:after="40"/>
      </w:pPr>
      <w:r>
        <w:rPr>
          <w:rFonts w:ascii="Arial" w:cs="Arial" w:eastAsia="Arial" w:hAnsi="Arial"/>
          <w:color w:val="404040"/>
          <w:sz w:val="20"/>
          <w:szCs w:val="20"/>
        </w:rPr>
        <w:t xml:space="preserve">Akses tidak terotorisasi terhadap data pribadi (unauthorized access)</w:t>
      </w:r>
    </w:p>
    <w:p>
      <w:pPr>
        <w:pStyle w:val="ListParagraph"/>
        <w:numPr>
          <w:ilvl w:val="0"/>
          <w:numId w:val="2"/>
        </w:numPr>
        <w:spacing w:before="40" w:after="40"/>
      </w:pPr>
      <w:r>
        <w:rPr>
          <w:rFonts w:ascii="Arial" w:cs="Arial" w:eastAsia="Arial" w:hAnsi="Arial"/>
          <w:color w:val="404040"/>
          <w:sz w:val="20"/>
          <w:szCs w:val="20"/>
        </w:rPr>
        <w:t xml:space="preserve">Pengungkapan data pribadi kepada pihak yang tidak berhak (unauthorized disclosure)</w:t>
      </w:r>
    </w:p>
    <w:p>
      <w:pPr>
        <w:pStyle w:val="ListParagraph"/>
        <w:numPr>
          <w:ilvl w:val="0"/>
          <w:numId w:val="2"/>
        </w:numPr>
        <w:spacing w:before="40" w:after="40"/>
      </w:pPr>
      <w:r>
        <w:rPr>
          <w:rFonts w:ascii="Arial" w:cs="Arial" w:eastAsia="Arial" w:hAnsi="Arial"/>
          <w:color w:val="404040"/>
          <w:sz w:val="20"/>
          <w:szCs w:val="20"/>
        </w:rPr>
        <w:t xml:space="preserve">Perubahan atau manipulasi data pribadi tanpa otorisasi (unauthorized alteration)</w:t>
      </w:r>
    </w:p>
    <w:p>
      <w:pPr>
        <w:pStyle w:val="ListParagraph"/>
        <w:numPr>
          <w:ilvl w:val="0"/>
          <w:numId w:val="2"/>
        </w:numPr>
        <w:spacing w:before="40" w:after="40"/>
      </w:pPr>
      <w:r>
        <w:rPr>
          <w:rFonts w:ascii="Arial" w:cs="Arial" w:eastAsia="Arial" w:hAnsi="Arial"/>
          <w:color w:val="404040"/>
          <w:sz w:val="20"/>
          <w:szCs w:val="20"/>
        </w:rPr>
        <w:t xml:space="preserve">Kehilangan atau kerusakan data pribadi secara permanen (destruction or loss)</w:t>
      </w:r>
    </w:p>
    <w:p>
      <w:pPr>
        <w:pStyle w:val="ListParagraph"/>
        <w:numPr>
          <w:ilvl w:val="0"/>
          <w:numId w:val="2"/>
        </w:numPr>
        <w:spacing w:before="40" w:after="40"/>
      </w:pPr>
      <w:r>
        <w:rPr>
          <w:rFonts w:ascii="Arial" w:cs="Arial" w:eastAsia="Arial" w:hAnsi="Arial"/>
          <w:color w:val="404040"/>
          <w:sz w:val="20"/>
          <w:szCs w:val="20"/>
        </w:rPr>
        <w:t xml:space="preserve">Ketidaktersediaan data pribadi kritis dalam jangka waktu yang tidak dapat diterima</w:t>
      </w:r>
    </w:p>
    <w:p>
      <w:pPr>
        <w:spacing w:before="120" w:after="0"/>
      </w:pPr>
      <w:r>
        <w:t xml:space="preserve"/>
      </w:r>
    </w:p>
    <w:p>
      <w:pPr>
        <w:spacing w:before="60" w:after="60"/>
      </w:pPr>
      <w:r>
        <w:rPr>
          <w:rFonts w:ascii="Arial" w:cs="Arial" w:eastAsia="Arial" w:hAnsi="Arial"/>
          <w:color w:val="404040"/>
          <w:sz w:val="20"/>
          <w:szCs w:val="20"/>
        </w:rPr>
        <w:t xml:space="preserve">Contoh insiden yang relevan untuk PT Equity Life Indonesia:</w:t>
      </w:r>
    </w:p>
    <w:p>
      <w:pPr>
        <w:pStyle w:val="ListParagraph"/>
        <w:numPr>
          <w:ilvl w:val="0"/>
          <w:numId w:val="2"/>
        </w:numPr>
        <w:spacing w:before="40" w:after="40"/>
      </w:pPr>
      <w:r>
        <w:rPr>
          <w:rFonts w:ascii="Arial" w:cs="Arial" w:eastAsia="Arial" w:hAnsi="Arial"/>
          <w:color w:val="404040"/>
          <w:sz w:val="20"/>
          <w:szCs w:val="20"/>
        </w:rPr>
        <w:t xml:space="preserve">Serangan ransomware yang mengenkripsi database polis dan data klaim</w:t>
      </w:r>
    </w:p>
    <w:p>
      <w:pPr>
        <w:pStyle w:val="ListParagraph"/>
        <w:numPr>
          <w:ilvl w:val="0"/>
          <w:numId w:val="2"/>
        </w:numPr>
        <w:spacing w:before="40" w:after="40"/>
      </w:pPr>
      <w:r>
        <w:rPr>
          <w:rFonts w:ascii="Arial" w:cs="Arial" w:eastAsia="Arial" w:hAnsi="Arial"/>
          <w:color w:val="404040"/>
          <w:sz w:val="20"/>
          <w:szCs w:val="20"/>
        </w:rPr>
        <w:t xml:space="preserve">Email berisi data kesehatan nasabah terkirim ke alamat yang salah</w:t>
      </w:r>
    </w:p>
    <w:p>
      <w:pPr>
        <w:pStyle w:val="ListParagraph"/>
        <w:numPr>
          <w:ilvl w:val="0"/>
          <w:numId w:val="2"/>
        </w:numPr>
        <w:spacing w:before="40" w:after="40"/>
      </w:pPr>
      <w:r>
        <w:rPr>
          <w:rFonts w:ascii="Arial" w:cs="Arial" w:eastAsia="Arial" w:hAnsi="Arial"/>
          <w:color w:val="404040"/>
          <w:sz w:val="20"/>
          <w:szCs w:val="20"/>
        </w:rPr>
        <w:t xml:space="preserve">Agen menyalin dan menjual data nasabah kepada pihak ketiga</w:t>
      </w:r>
    </w:p>
    <w:p>
      <w:pPr>
        <w:pStyle w:val="ListParagraph"/>
        <w:numPr>
          <w:ilvl w:val="0"/>
          <w:numId w:val="2"/>
        </w:numPr>
        <w:spacing w:before="40" w:after="40"/>
      </w:pPr>
      <w:r>
        <w:rPr>
          <w:rFonts w:ascii="Arial" w:cs="Arial" w:eastAsia="Arial" w:hAnsi="Arial"/>
          <w:color w:val="404040"/>
          <w:sz w:val="20"/>
          <w:szCs w:val="20"/>
        </w:rPr>
        <w:t xml:space="preserve">Kebocoran data melalui API yang tidak terproteksi</w:t>
      </w:r>
    </w:p>
    <w:p>
      <w:pPr>
        <w:pStyle w:val="ListParagraph"/>
        <w:numPr>
          <w:ilvl w:val="0"/>
          <w:numId w:val="2"/>
        </w:numPr>
        <w:spacing w:before="40" w:after="40"/>
      </w:pPr>
      <w:r>
        <w:rPr>
          <w:rFonts w:ascii="Arial" w:cs="Arial" w:eastAsia="Arial" w:hAnsi="Arial"/>
          <w:color w:val="404040"/>
          <w:sz w:val="20"/>
          <w:szCs w:val="20"/>
        </w:rPr>
        <w:t xml:space="preserve">Peretasan portal nasabah yang mengekspos data polis dan data medis</w:t>
      </w:r>
    </w:p>
    <w:p>
      <w:pPr>
        <w:pStyle w:val="Heading1"/>
        <w:pBdr>
          <w:bottom w:val="single" w:color="1A3C6B" w:sz="8" w:space="4"/>
        </w:pBdr>
        <w:spacing w:before="280" w:after="140"/>
      </w:pPr>
      <w:r>
        <w:rPr>
          <w:rFonts w:ascii="Arial" w:cs="Arial" w:eastAsia="Arial" w:hAnsi="Arial"/>
          <w:b/>
          <w:bCs/>
          <w:color w:val="1A3C6B"/>
          <w:sz w:val="32"/>
          <w:szCs w:val="32"/>
        </w:rPr>
        <w:t xml:space="preserve">3. Klasifikasi Tingkat Keparahan Insiden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600"/>
        <w:gridCol w:w="3438"/>
      </w:tblGrid>
      <w:tr>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Level</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Keparahan</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Kriteria</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Contoh</w:t>
            </w:r>
          </w:p>
        </w:tc>
      </w:tr>
      <w:tr>
        <w:tc>
          <w:tcPr>
            <w:tcBorders>
              <w:top w:val="single" w:color="CCCCCC" w:sz="4"/>
              <w:left w:val="single" w:color="CCCCCC" w:sz="4"/>
              <w:bottom w:val="single" w:color="CCCCCC" w:sz="4"/>
              <w:right w:val="single" w:color="CCCCCC" w:sz="4"/>
            </w:tcBorders>
            <w:shd w:fill="FFCCCC"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L1</w:t>
            </w:r>
          </w:p>
        </w:tc>
        <w:tc>
          <w:tcPr>
            <w:tcBorders>
              <w:top w:val="single" w:color="CCCCCC" w:sz="4"/>
              <w:left w:val="single" w:color="CCCCCC" w:sz="4"/>
              <w:bottom w:val="single" w:color="CCCCCC" w:sz="4"/>
              <w:right w:val="single" w:color="CCCCCC" w:sz="4"/>
            </w:tcBorders>
            <w:shd w:fill="FFCCCC"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KRITIS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Data Kelas 1 terekspos dalam jumlah besar (&gt;1.000 nasabah); atau sistem kritis tidak dapat beroperasi; atau terdapat indikasi penyalahgunaan data aktif</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Kebocoran database klaim massal; ransomware pada core system</w:t>
            </w:r>
          </w:p>
        </w:tc>
      </w:tr>
      <w:tr>
        <w:tc>
          <w:tcPr>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L2</w:t>
            </w:r>
          </w:p>
        </w:tc>
        <w:tc>
          <w:tcPr>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TINGGI</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Data Kelas 1 terekspos dalam jumlah terbatas (&lt;1.000 nasabah); atau Data Kelas 2 dalam jumlah besar terekspos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Email data medis terkirim ke penerima salah; kebocoran portal agen</w:t>
            </w:r>
          </w:p>
        </w:tc>
      </w:tr>
      <w:tr>
        <w:tc>
          <w:tcPr>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L3</w:t>
            </w:r>
          </w:p>
        </w:tc>
        <w:tc>
          <w:tcPr>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SEDANG</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Data Kelas 2 atau Kelas 3 terekspos dalam jumlah terbatas; risiko dampak dapat dikontrol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File Excel berisi data nasabah tertinggal di laptop yang hilang</w:t>
            </w:r>
          </w:p>
        </w:tc>
      </w:tr>
      <w:tr>
        <w:tc>
          <w:tcPr>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L4</w:t>
            </w:r>
          </w:p>
        </w:tc>
        <w:tc>
          <w:tcPr>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RENDAH</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Data Kelas 3 atau Kelas 4 terekspos; tidak ada indikasi penyalahgunaan; dampak minimal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Email berisi nama dan nomor telepon nasabah terkirim ke penerima yang salah</w:t>
            </w:r>
          </w:p>
        </w:tc>
      </w:tr>
    </w:tbl>
    <w:p>
      <w:pPr>
        <w:pStyle w:val="Heading1"/>
        <w:pBdr>
          <w:bottom w:val="single" w:color="1A3C6B" w:sz="8" w:space="4"/>
        </w:pBdr>
        <w:spacing w:before="280" w:after="140"/>
      </w:pPr>
      <w:r>
        <w:rPr>
          <w:rFonts w:ascii="Arial" w:cs="Arial" w:eastAsia="Arial" w:hAnsi="Arial"/>
          <w:b/>
          <w:bCs/>
          <w:color w:val="1A3C6B"/>
          <w:sz w:val="32"/>
          <w:szCs w:val="32"/>
        </w:rPr>
        <w:t xml:space="preserve">4. Alur Penanganan Insiden — Timeline Kritis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3000"/>
        <w:gridCol w:w="2238"/>
      </w:tblGrid>
      <w:tr>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Batas Waktu</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Tindakan Wajib</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Penanggung Jawab</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Output</w:t>
            </w:r>
          </w:p>
        </w:tc>
      </w:tr>
      <w:tr>
        <w:tc>
          <w:tcPr>
            <w:tcBorders>
              <w:top w:val="single" w:color="CCCCCC" w:sz="4"/>
              <w:left w:val="single" w:color="CCCCCC" w:sz="4"/>
              <w:bottom w:val="single" w:color="CCCCCC" w:sz="4"/>
              <w:right w:val="single" w:color="CCCCCC" w:sz="4"/>
            </w:tcBorders>
            <w:shd w:fill="FFCCCC"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0 – 1 Jam</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Deteksi, konfirmasi insiden, dan isolasi sistem yang terdampak untuk mencegah eksploitasi lebih lanjut</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IT Security / IT Infra / Personil yang menemukan insiden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Incident ticket dibuka; War Room diaktifkan untuk L1/L2</w:t>
            </w:r>
          </w:p>
        </w:tc>
      </w:tr>
      <w:tr>
        <w:tc>
          <w:tcPr>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1 – 4 Jam</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Asesmen awal: scope data yang terekspos, jumlah subjek data terdampak, kategori data</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DPO + IT Security + Legal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Laporan asesmen awal (draft); klasifikasi level keparahan</w:t>
            </w:r>
          </w:p>
        </w:tc>
      </w:tr>
      <w:tr>
        <w:tc>
          <w:tcPr>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4 – 24 Jam</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Notifikasi internal kepada Direktur T&amp;I dan President Director; aktivasi Incident Response Team</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DPO</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Laporan status kepada manajemen senior; Tim IR aktif</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24 – 72 Jam</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Investigasi forensik; identifikasi akar masalah; dokumentasi scope insiden secara lengkap</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IT Security + DPO + Risk Management</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Laporan investigasi forensik awal</w:t>
            </w:r>
          </w:p>
        </w:tc>
      </w:tr>
      <w:tr>
        <w:tc>
          <w:tcPr>
            <w:tcBorders>
              <w:top w:val="single" w:color="CCCCCC" w:sz="4"/>
              <w:left w:val="single" w:color="CCCCCC" w:sz="4"/>
              <w:bottom w:val="single" w:color="CCCCCC" w:sz="4"/>
              <w:right w:val="single" w:color="CCCCCC" w:sz="4"/>
            </w:tcBorders>
            <w:shd w:fill="FFCCCC"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 14 Hari Kalender</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NOTIFIKASI WAJIB ke OJK dan instansi berwenang; notifikasi kepada subjek data yang terdampak</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DPO + Legal + Manajemen Senior</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Laporan resmi ke OJK; surat notifikasi kepada nasabah/karyawan</w:t>
            </w:r>
          </w:p>
        </w:tc>
      </w:tr>
    </w:tbl>
    <w:p>
      <w:pPr>
        <w:pStyle w:val="Heading1"/>
        <w:pBdr>
          <w:bottom w:val="single" w:color="1A3C6B" w:sz="8" w:space="4"/>
        </w:pBdr>
        <w:spacing w:before="280" w:after="140"/>
      </w:pPr>
      <w:r>
        <w:rPr>
          <w:rFonts w:ascii="Arial" w:cs="Arial" w:eastAsia="Arial" w:hAnsi="Arial"/>
          <w:b/>
          <w:bCs/>
          <w:color w:val="1A3C6B"/>
          <w:sz w:val="32"/>
          <w:szCs w:val="32"/>
        </w:rPr>
        <w:t xml:space="preserve">5. Isi Notifikasi kepada OJK</w:t>
      </w:r>
    </w:p>
    <w:p>
      <w:pPr>
        <w:spacing w:before="60" w:after="60"/>
      </w:pPr>
      <w:r>
        <w:rPr>
          <w:rFonts w:ascii="Arial" w:cs="Arial" w:eastAsia="Arial" w:hAnsi="Arial"/>
          <w:color w:val="404040"/>
          <w:sz w:val="20"/>
          <w:szCs w:val="20"/>
        </w:rPr>
        <w:t xml:space="preserve">Notifikasi kepada OJK harus memuat minimal informasi berikut sesuai UU PDP Pasal 46 ayat 2:</w:t>
      </w:r>
    </w:p>
    <w:p>
      <w:pPr>
        <w:pStyle w:val="ListParagraph"/>
        <w:numPr>
          <w:ilvl w:val="0"/>
          <w:numId w:val="3"/>
        </w:numPr>
        <w:spacing w:before="60" w:after="60"/>
      </w:pPr>
      <w:r>
        <w:rPr>
          <w:rFonts w:ascii="Arial" w:cs="Arial" w:eastAsia="Arial" w:hAnsi="Arial"/>
          <w:color w:val="404040"/>
          <w:sz w:val="20"/>
          <w:szCs w:val="20"/>
        </w:rPr>
        <w:t xml:space="preserve">Identitas dan informasi kontak PT Equity Life Indonesia serta DPO</w:t>
      </w:r>
    </w:p>
    <w:p>
      <w:pPr>
        <w:pStyle w:val="ListParagraph"/>
        <w:numPr>
          <w:ilvl w:val="0"/>
          <w:numId w:val="3"/>
        </w:numPr>
        <w:spacing w:before="60" w:after="60"/>
      </w:pPr>
      <w:r>
        <w:rPr>
          <w:rFonts w:ascii="Arial" w:cs="Arial" w:eastAsia="Arial" w:hAnsi="Arial"/>
          <w:color w:val="404040"/>
          <w:sz w:val="20"/>
          <w:szCs w:val="20"/>
        </w:rPr>
        <w:t xml:space="preserve">Deskripsi insiden kebocoran data yang terjadi, termasuk perkiraan tanggal dan waktu insiden</w:t>
      </w:r>
    </w:p>
    <w:p>
      <w:pPr>
        <w:pStyle w:val="ListParagraph"/>
        <w:numPr>
          <w:ilvl w:val="0"/>
          <w:numId w:val="3"/>
        </w:numPr>
        <w:spacing w:before="60" w:after="60"/>
      </w:pPr>
      <w:r>
        <w:rPr>
          <w:rFonts w:ascii="Arial" w:cs="Arial" w:eastAsia="Arial" w:hAnsi="Arial"/>
          <w:color w:val="404040"/>
          <w:sz w:val="20"/>
          <w:szCs w:val="20"/>
        </w:rPr>
        <w:t xml:space="preserve">Kategori dan perkiraan jumlah data pribadi yang terdampak</w:t>
      </w:r>
    </w:p>
    <w:p>
      <w:pPr>
        <w:pStyle w:val="ListParagraph"/>
        <w:numPr>
          <w:ilvl w:val="0"/>
          <w:numId w:val="3"/>
        </w:numPr>
        <w:spacing w:before="60" w:after="60"/>
      </w:pPr>
      <w:r>
        <w:rPr>
          <w:rFonts w:ascii="Arial" w:cs="Arial" w:eastAsia="Arial" w:hAnsi="Arial"/>
          <w:color w:val="404040"/>
          <w:sz w:val="20"/>
          <w:szCs w:val="20"/>
        </w:rPr>
        <w:t xml:space="preserve">Kategori dan perkiraan jumlah subjek data yang terdampak</w:t>
      </w:r>
    </w:p>
    <w:p>
      <w:pPr>
        <w:pStyle w:val="ListParagraph"/>
        <w:numPr>
          <w:ilvl w:val="0"/>
          <w:numId w:val="3"/>
        </w:numPr>
        <w:spacing w:before="60" w:after="60"/>
      </w:pPr>
      <w:r>
        <w:rPr>
          <w:rFonts w:ascii="Arial" w:cs="Arial" w:eastAsia="Arial" w:hAnsi="Arial"/>
          <w:color w:val="404040"/>
          <w:sz w:val="20"/>
          <w:szCs w:val="20"/>
        </w:rPr>
        <w:t xml:space="preserve">Kemungkinan konsekuensi dari kebocoran data terhadap subjek data</w:t>
      </w:r>
    </w:p>
    <w:p>
      <w:pPr>
        <w:pStyle w:val="ListParagraph"/>
        <w:numPr>
          <w:ilvl w:val="0"/>
          <w:numId w:val="3"/>
        </w:numPr>
        <w:spacing w:before="60" w:after="60"/>
      </w:pPr>
      <w:r>
        <w:rPr>
          <w:rFonts w:ascii="Arial" w:cs="Arial" w:eastAsia="Arial" w:hAnsi="Arial"/>
          <w:color w:val="404040"/>
          <w:sz w:val="20"/>
          <w:szCs w:val="20"/>
        </w:rPr>
        <w:t xml:space="preserve">Tindakan yang telah dan akan diambil untuk menangani insiden dan memitigasi dampaknya</w:t>
      </w:r>
    </w:p>
    <w:p>
      <w:pPr>
        <w:pStyle w:val="ListParagraph"/>
        <w:numPr>
          <w:ilvl w:val="0"/>
          <w:numId w:val="3"/>
        </w:numPr>
        <w:spacing w:before="60" w:after="60"/>
      </w:pPr>
      <w:r>
        <w:rPr>
          <w:rFonts w:ascii="Arial" w:cs="Arial" w:eastAsia="Arial" w:hAnsi="Arial"/>
          <w:color w:val="404040"/>
          <w:sz w:val="20"/>
          <w:szCs w:val="20"/>
        </w:rPr>
        <w:t xml:space="preserve">Nama dan kontak DPO atau titik kontak lain yang dapat dihubungi untuk informasi lebih lanjut</w:t>
      </w:r>
    </w:p>
    <w:p>
      <w:pPr>
        <w:spacing w:before="120" w:after="0"/>
      </w:pPr>
      <w:r>
        <w:t xml:space="preserve"/>
      </w:r>
    </w:p>
    <w:p>
      <w:pPr>
        <w:pBdr>
          <w:left w:val="single" w:color="C8A84B" w:sz="16" w:space="8"/>
        </w:pBdr>
        <w:shd w:fill="FFF9E6" w:val="clear"/>
        <w:spacing w:before="80" w:after="80"/>
        <w:ind w:left="360"/>
      </w:pPr>
      <w:r>
        <w:rPr>
          <w:rFonts w:ascii="Arial" w:cs="Arial" w:eastAsia="Arial" w:hAnsi="Arial"/>
          <w:i/>
          <w:iCs/>
          <w:color w:val="404040"/>
          <w:sz w:val="20"/>
          <w:szCs w:val="20"/>
        </w:rPr>
        <w:t xml:space="preserve">Jika informasi lengkap belum tersedia pada saat batas 14 hari, kirimkan notifikasi dengan informasi yang tersedia dan nyatakan bahwa laporan lanjutan akan menyusul. Lebih baik melapor dengan informasi parsial daripada melewati batas waktu.</w:t>
      </w:r>
    </w:p>
    <w:p>
      <w:pPr>
        <w:pStyle w:val="Heading1"/>
        <w:pBdr>
          <w:bottom w:val="single" w:color="1A3C6B" w:sz="8" w:space="4"/>
        </w:pBdr>
        <w:spacing w:before="280" w:after="140"/>
      </w:pPr>
      <w:r>
        <w:rPr>
          <w:rFonts w:ascii="Arial" w:cs="Arial" w:eastAsia="Arial" w:hAnsi="Arial"/>
          <w:b/>
          <w:bCs/>
          <w:color w:val="1A3C6B"/>
          <w:sz w:val="32"/>
          <w:szCs w:val="32"/>
        </w:rPr>
        <w:t xml:space="preserve">6. Isi Notifikasi kepada Subjek Data</w:t>
      </w:r>
    </w:p>
    <w:p>
      <w:pPr>
        <w:spacing w:before="60" w:after="60"/>
      </w:pPr>
      <w:r>
        <w:rPr>
          <w:rFonts w:ascii="Arial" w:cs="Arial" w:eastAsia="Arial" w:hAnsi="Arial"/>
          <w:color w:val="404040"/>
          <w:sz w:val="20"/>
          <w:szCs w:val="20"/>
        </w:rPr>
        <w:t xml:space="preserve">Subjek data yang terdampak harus dinotifikasi dengan bahasa yang jelas dan mudah dipahami, memuat:</w:t>
      </w:r>
    </w:p>
    <w:p>
      <w:pPr>
        <w:pStyle w:val="ListParagraph"/>
        <w:numPr>
          <w:ilvl w:val="0"/>
          <w:numId w:val="2"/>
        </w:numPr>
        <w:spacing w:before="40" w:after="40"/>
      </w:pPr>
      <w:r>
        <w:rPr>
          <w:rFonts w:ascii="Arial" w:cs="Arial" w:eastAsia="Arial" w:hAnsi="Arial"/>
          <w:color w:val="404040"/>
          <w:sz w:val="20"/>
          <w:szCs w:val="20"/>
        </w:rPr>
        <w:t xml:space="preserve">Penjelasan mengenai insiden yang terjadi dalam bahasa yang tidak teknis</w:t>
      </w:r>
    </w:p>
    <w:p>
      <w:pPr>
        <w:pStyle w:val="ListParagraph"/>
        <w:numPr>
          <w:ilvl w:val="0"/>
          <w:numId w:val="2"/>
        </w:numPr>
        <w:spacing w:before="40" w:after="40"/>
      </w:pPr>
      <w:r>
        <w:rPr>
          <w:rFonts w:ascii="Arial" w:cs="Arial" w:eastAsia="Arial" w:hAnsi="Arial"/>
          <w:color w:val="404040"/>
          <w:sz w:val="20"/>
          <w:szCs w:val="20"/>
        </w:rPr>
        <w:t xml:space="preserve">Kategori data pribadi yang terdampak (misalnya: data kesehatan, data polis, data biometrik)</w:t>
      </w:r>
    </w:p>
    <w:p>
      <w:pPr>
        <w:pStyle w:val="ListParagraph"/>
        <w:numPr>
          <w:ilvl w:val="0"/>
          <w:numId w:val="2"/>
        </w:numPr>
        <w:spacing w:before="40" w:after="40"/>
      </w:pPr>
      <w:r>
        <w:rPr>
          <w:rFonts w:ascii="Arial" w:cs="Arial" w:eastAsia="Arial" w:hAnsi="Arial"/>
          <w:color w:val="404040"/>
          <w:sz w:val="20"/>
          <w:szCs w:val="20"/>
        </w:rPr>
        <w:t xml:space="preserve">Tindakan yang telah diambil PT Equity Life Indonesia untuk menangani insiden</w:t>
      </w:r>
    </w:p>
    <w:p>
      <w:pPr>
        <w:pStyle w:val="ListParagraph"/>
        <w:numPr>
          <w:ilvl w:val="0"/>
          <w:numId w:val="2"/>
        </w:numPr>
        <w:spacing w:before="40" w:after="40"/>
      </w:pPr>
      <w:r>
        <w:rPr>
          <w:rFonts w:ascii="Arial" w:cs="Arial" w:eastAsia="Arial" w:hAnsi="Arial"/>
          <w:color w:val="404040"/>
          <w:sz w:val="20"/>
          <w:szCs w:val="20"/>
        </w:rPr>
        <w:t xml:space="preserve">Langkah-langkah yang disarankan kepada subjek data untuk melindungi dirinya</w:t>
      </w:r>
    </w:p>
    <w:p>
      <w:pPr>
        <w:pStyle w:val="ListParagraph"/>
        <w:numPr>
          <w:ilvl w:val="0"/>
          <w:numId w:val="2"/>
        </w:numPr>
        <w:spacing w:before="40" w:after="40"/>
      </w:pPr>
      <w:r>
        <w:rPr>
          <w:rFonts w:ascii="Arial" w:cs="Arial" w:eastAsia="Arial" w:hAnsi="Arial"/>
          <w:color w:val="404040"/>
          <w:sz w:val="20"/>
          <w:szCs w:val="20"/>
        </w:rPr>
        <w:t xml:space="preserve">Informasi kontak DPO untuk pertanyaan lebih lanjut</w:t>
      </w:r>
    </w:p>
    <w:p>
      <w:pPr>
        <w:pStyle w:val="ListParagraph"/>
        <w:numPr>
          <w:ilvl w:val="0"/>
          <w:numId w:val="2"/>
        </w:numPr>
        <w:spacing w:before="40" w:after="40"/>
      </w:pPr>
      <w:r>
        <w:rPr>
          <w:rFonts w:ascii="Arial" w:cs="Arial" w:eastAsia="Arial" w:hAnsi="Arial"/>
          <w:color w:val="404040"/>
          <w:sz w:val="20"/>
          <w:szCs w:val="20"/>
        </w:rPr>
        <w:t xml:space="preserve">Hak-hak subjek data yang relevan berdasarkan UU PDP</w:t>
      </w:r>
    </w:p>
    <w:p>
      <w:pPr>
        <w:pStyle w:val="Heading1"/>
        <w:pBdr>
          <w:bottom w:val="single" w:color="1A3C6B" w:sz="8" w:space="4"/>
        </w:pBdr>
        <w:spacing w:before="280" w:after="140"/>
      </w:pPr>
      <w:r>
        <w:rPr>
          <w:rFonts w:ascii="Arial" w:cs="Arial" w:eastAsia="Arial" w:hAnsi="Arial"/>
          <w:b/>
          <w:bCs/>
          <w:color w:val="1A3C6B"/>
          <w:sz w:val="32"/>
          <w:szCs w:val="32"/>
        </w:rPr>
        <w:t xml:space="preserve">7. Saluran Notifikasi kepada Subjek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138"/>
      </w:tblGrid>
      <w:tr>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Saluran</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Digunakan Untuk</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Ketentuan</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Email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Nasabah dengan email terdaftar; karyawan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Kirim dari domain resmi @equitylife.co.id; simpan bukti pengiriman</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SMS</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Nasabah tanpa email atau yang tidak merespons email dalam 24 jam</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Gunakan nomor telepon terdaftar dalam sistem; simpan log SMS gateway</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Surat Resmi</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Kasus L1 &amp; L2; semua nasabah yang terdampak data Kelas 1</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Kirim via pos tercatat ke alamat terakhir yang diketahui; simpan bukti pengiriman</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Pengumuman Publik</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Jika identitas individual tidak dapat diidentifikasi atau jumlah sangat besar</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Publikasikan di website resmi dan media massa nasional selama 30 hari</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Push Notification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Nasabah pengguna aplikasi mobile ELI</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Kirim melalui sistem push notification in-app; simpan log pengiriman</w:t>
            </w:r>
          </w:p>
        </w:tc>
      </w:tr>
    </w:tbl>
    <w:p>
      <w:pPr>
        <w:pStyle w:val="Heading1"/>
        <w:pBdr>
          <w:bottom w:val="single" w:color="1A3C6B" w:sz="8" w:space="4"/>
        </w:pBdr>
        <w:spacing w:before="280" w:after="140"/>
      </w:pPr>
      <w:r>
        <w:rPr>
          <w:rFonts w:ascii="Arial" w:cs="Arial" w:eastAsia="Arial" w:hAnsi="Arial"/>
          <w:b/>
          <w:bCs/>
          <w:color w:val="1A3C6B"/>
          <w:sz w:val="32"/>
          <w:szCs w:val="32"/>
        </w:rPr>
        <w:t xml:space="preserve">8. Dokumentasi dan Bukti Kepatuhan</w:t>
      </w:r>
    </w:p>
    <w:p>
      <w:pPr>
        <w:spacing w:before="60" w:after="60"/>
      </w:pPr>
      <w:r>
        <w:rPr>
          <w:rFonts w:ascii="Arial" w:cs="Arial" w:eastAsia="Arial" w:hAnsi="Arial"/>
          <w:color w:val="404040"/>
          <w:sz w:val="20"/>
          <w:szCs w:val="20"/>
        </w:rPr>
        <w:t xml:space="preserve">Seluruh tindakan penanganan insiden harus didokumentasikan dalam Incident Report yang disimpan minimal 5 tahun dan memuat:</w:t>
      </w:r>
    </w:p>
    <w:p>
      <w:pPr>
        <w:pStyle w:val="ListParagraph"/>
        <w:numPr>
          <w:ilvl w:val="0"/>
          <w:numId w:val="2"/>
        </w:numPr>
        <w:spacing w:before="40" w:after="40"/>
      </w:pPr>
      <w:r>
        <w:rPr>
          <w:rFonts w:ascii="Arial" w:cs="Arial" w:eastAsia="Arial" w:hAnsi="Arial"/>
          <w:color w:val="404040"/>
          <w:sz w:val="20"/>
          <w:szCs w:val="20"/>
        </w:rPr>
        <w:t xml:space="preserve">Timeline kronologis insiden dari deteksi hingga penyelesaian</w:t>
      </w:r>
    </w:p>
    <w:p>
      <w:pPr>
        <w:pStyle w:val="ListParagraph"/>
        <w:numPr>
          <w:ilvl w:val="0"/>
          <w:numId w:val="2"/>
        </w:numPr>
        <w:spacing w:before="40" w:after="40"/>
      </w:pPr>
      <w:r>
        <w:rPr>
          <w:rFonts w:ascii="Arial" w:cs="Arial" w:eastAsia="Arial" w:hAnsi="Arial"/>
          <w:color w:val="404040"/>
          <w:sz w:val="20"/>
          <w:szCs w:val="20"/>
        </w:rPr>
        <w:t xml:space="preserve">Bukti notifikasi kepada OJK (tanda terima, nomor registrasi laporan)</w:t>
      </w:r>
    </w:p>
    <w:p>
      <w:pPr>
        <w:pStyle w:val="ListParagraph"/>
        <w:numPr>
          <w:ilvl w:val="0"/>
          <w:numId w:val="2"/>
        </w:numPr>
        <w:spacing w:before="40" w:after="40"/>
      </w:pPr>
      <w:r>
        <w:rPr>
          <w:rFonts w:ascii="Arial" w:cs="Arial" w:eastAsia="Arial" w:hAnsi="Arial"/>
          <w:color w:val="404040"/>
          <w:sz w:val="20"/>
          <w:szCs w:val="20"/>
        </w:rPr>
        <w:t xml:space="preserve">Bukti notifikasi kepada subjek data (log email/SMS, bukti pos tercatat)</w:t>
      </w:r>
    </w:p>
    <w:p>
      <w:pPr>
        <w:pStyle w:val="ListParagraph"/>
        <w:numPr>
          <w:ilvl w:val="0"/>
          <w:numId w:val="2"/>
        </w:numPr>
        <w:spacing w:before="40" w:after="40"/>
      </w:pPr>
      <w:r>
        <w:rPr>
          <w:rFonts w:ascii="Arial" w:cs="Arial" w:eastAsia="Arial" w:hAnsi="Arial"/>
          <w:color w:val="404040"/>
          <w:sz w:val="20"/>
          <w:szCs w:val="20"/>
        </w:rPr>
        <w:t xml:space="preserve">Laporan investigasi forensik (jika dilaksanakan)</w:t>
      </w:r>
    </w:p>
    <w:p>
      <w:pPr>
        <w:pStyle w:val="ListParagraph"/>
        <w:numPr>
          <w:ilvl w:val="0"/>
          <w:numId w:val="2"/>
        </w:numPr>
        <w:spacing w:before="40" w:after="40"/>
      </w:pPr>
      <w:r>
        <w:rPr>
          <w:rFonts w:ascii="Arial" w:cs="Arial" w:eastAsia="Arial" w:hAnsi="Arial"/>
          <w:color w:val="404040"/>
          <w:sz w:val="20"/>
          <w:szCs w:val="20"/>
        </w:rPr>
        <w:t xml:space="preserve">Tindakan perbaikan yang diimplementasikan untuk mencegah recurrence</w:t>
      </w:r>
    </w:p>
    <w:p>
      <w:pPr>
        <w:pStyle w:val="ListParagraph"/>
        <w:numPr>
          <w:ilvl w:val="0"/>
          <w:numId w:val="2"/>
        </w:numPr>
        <w:spacing w:before="40" w:after="40"/>
      </w:pPr>
      <w:r>
        <w:rPr>
          <w:rFonts w:ascii="Arial" w:cs="Arial" w:eastAsia="Arial" w:hAnsi="Arial"/>
          <w:color w:val="404040"/>
          <w:sz w:val="20"/>
          <w:szCs w:val="20"/>
        </w:rPr>
        <w:t xml:space="preserve">Pelajaran yang dipetik (lessons learned) dan rekomendasi perbaikan proses</w:t>
      </w:r>
    </w:p>
    <w:p>
      <w:pPr>
        <w:pStyle w:val="Heading1"/>
        <w:pBdr>
          <w:bottom w:val="single" w:color="1A3C6B" w:sz="8" w:space="4"/>
        </w:pBdr>
        <w:spacing w:before="280" w:after="140"/>
      </w:pPr>
      <w:r>
        <w:rPr>
          <w:rFonts w:ascii="Arial" w:cs="Arial" w:eastAsia="Arial" w:hAnsi="Arial"/>
          <w:b/>
          <w:bCs/>
          <w:color w:val="1A3C6B"/>
          <w:sz w:val="32"/>
          <w:szCs w:val="32"/>
        </w:rPr>
        <w:t xml:space="preserve">9. Persetujuan Dokumen</w:t>
      </w:r>
    </w:p>
    <w:p>
      <w:pPr>
        <w:spacing w:before="8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tcPr>
          <w:p>
            <w:pPr>
              <w:jc w:val="center"/>
            </w:pPr>
            <w:r>
              <w:rPr>
                <w:rFonts w:ascii="Arial" w:cs="Arial" w:eastAsia="Arial" w:hAnsi="Arial"/>
                <w:b/>
                <w:bCs/>
                <w:color w:val="1A3C6B"/>
                <w:sz w:val="20"/>
                <w:szCs w:val="20"/>
              </w:rPr>
              <w:t xml:space="preserve">Disusun oleh</w:t>
            </w:r>
          </w:p>
        </w:tc>
        <w:tc>
          <w:tcPr>
            <w:tcW w:type="dxa" w:w="3212"/>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tcPr>
          <w:p>
            <w:pPr>
              <w:jc w:val="center"/>
            </w:pPr>
            <w:r>
              <w:rPr>
                <w:rFonts w:ascii="Arial" w:cs="Arial" w:eastAsia="Arial" w:hAnsi="Arial"/>
                <w:b/>
                <w:bCs/>
                <w:color w:val="1A3C6B"/>
                <w:sz w:val="20"/>
                <w:szCs w:val="20"/>
              </w:rPr>
              <w:t xml:space="preserve">Diperiksa oleh</w:t>
            </w:r>
          </w:p>
        </w:tc>
        <w:tc>
          <w:tcPr>
            <w:tcW w:type="dxa" w:w="3212"/>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tcPr>
          <w:p>
            <w:pPr>
              <w:jc w:val="center"/>
            </w:pPr>
            <w:r>
              <w:rPr>
                <w:rFonts w:ascii="Arial" w:cs="Arial" w:eastAsia="Arial" w:hAnsi="Arial"/>
                <w:b/>
                <w:bCs/>
                <w:color w:val="1A3C6B"/>
                <w:sz w:val="20"/>
                <w:szCs w:val="20"/>
              </w:rPr>
              <w:t xml:space="preserve">Disetujui oleh</w:t>
            </w:r>
          </w:p>
        </w:tc>
      </w:tr>
      <w:tr>
        <w:tc>
          <w:tcPr>
            <w:tcW w:type="dxa" w:w="321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i/>
                <w:iCs/>
                <w:color w:val="666666"/>
                <w:sz w:val="18"/>
                <w:szCs w:val="18"/>
              </w:rPr>
              <w:t xml:space="preserve">Tanda Tangan</w:t>
            </w:r>
          </w:p>
          <w:p>
            <w:pPr>
              <w:spacing w:before="600"/>
              <w:jc w:val="center"/>
            </w:pPr>
            <w:r>
              <w:rPr>
                <w:rFonts w:ascii="Arial" w:cs="Arial" w:eastAsia="Arial" w:hAnsi="Arial"/>
                <w:color w:val="CCCCCC"/>
                <w:sz w:val="20"/>
                <w:szCs w:val="20"/>
              </w:rPr>
              <w:t xml:space="preserve">___________________</w:t>
            </w:r>
          </w:p>
        </w:tc>
        <w:tc>
          <w:tcPr>
            <w:tcW w:type="dxa" w:w="321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i/>
                <w:iCs/>
                <w:color w:val="666666"/>
                <w:sz w:val="18"/>
                <w:szCs w:val="18"/>
              </w:rPr>
              <w:t xml:space="preserve">Tanda Tangan</w:t>
            </w:r>
          </w:p>
          <w:p>
            <w:pPr>
              <w:spacing w:before="600"/>
              <w:jc w:val="center"/>
            </w:pPr>
            <w:r>
              <w:rPr>
                <w:rFonts w:ascii="Arial" w:cs="Arial" w:eastAsia="Arial" w:hAnsi="Arial"/>
                <w:color w:val="CCCCCC"/>
                <w:sz w:val="20"/>
                <w:szCs w:val="20"/>
              </w:rPr>
              <w:t xml:space="preserve">___________________</w:t>
            </w:r>
          </w:p>
        </w:tc>
        <w:tc>
          <w:tcPr>
            <w:tcW w:type="dxa" w:w="321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i/>
                <w:iCs/>
                <w:color w:val="666666"/>
                <w:sz w:val="18"/>
                <w:szCs w:val="18"/>
              </w:rPr>
              <w:t xml:space="preserve">Tanda Tangan</w:t>
            </w:r>
          </w:p>
          <w:p>
            <w:pPr>
              <w:spacing w:before="600"/>
              <w:jc w:val="center"/>
            </w:pPr>
            <w:r>
              <w:rPr>
                <w:rFonts w:ascii="Arial" w:cs="Arial" w:eastAsia="Arial" w:hAnsi="Arial"/>
                <w:color w:val="CCCCCC"/>
                <w:sz w:val="20"/>
                <w:szCs w:val="20"/>
              </w:rPr>
              <w:t xml:space="preserve">___________________</w:t>
            </w:r>
          </w:p>
        </w:tc>
      </w:tr>
      <w:tr>
        <w:tc>
          <w:tcPr>
            <w:tcW w:type="dxa" w:w="3212"/>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DPO / IT Security &amp; Governance</w:t>
            </w:r>
          </w:p>
          <w:p>
            <w:pPr>
              <w:jc w:val="center"/>
            </w:pPr>
            <w:r>
              <w:rPr>
                <w:rFonts w:ascii="Arial" w:cs="Arial" w:eastAsia="Arial" w:hAnsi="Arial"/>
                <w:color w:val="666666"/>
                <w:sz w:val="18"/>
                <w:szCs w:val="18"/>
              </w:rPr>
              <w:t xml:space="preserve">Technology &amp; Information Directorate</w:t>
            </w:r>
          </w:p>
        </w:tc>
        <w:tc>
          <w:tcPr>
            <w:tcW w:type="dxa" w:w="3212"/>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Legal Counsel</w:t>
            </w:r>
          </w:p>
          <w:p>
            <w:pPr>
              <w:jc w:val="center"/>
            </w:pPr>
            <w:r>
              <w:rPr>
                <w:rFonts w:ascii="Arial" w:cs="Arial" w:eastAsia="Arial" w:hAnsi="Arial"/>
                <w:color w:val="666666"/>
                <w:sz w:val="18"/>
                <w:szCs w:val="18"/>
              </w:rPr>
              <w:t xml:space="preserve">Legal &amp; Compliance</w:t>
            </w:r>
          </w:p>
        </w:tc>
        <w:tc>
          <w:tcPr>
            <w:tcW w:type="dxa" w:w="3212"/>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President Director</w:t>
            </w:r>
          </w:p>
          <w:p>
            <w:pPr>
              <w:jc w:val="center"/>
            </w:pPr>
            <w:r>
              <w:rPr>
                <w:rFonts w:ascii="Arial" w:cs="Arial" w:eastAsia="Arial" w:hAnsi="Arial"/>
                <w:color w:val="666666"/>
                <w:sz w:val="18"/>
                <w:szCs w:val="18"/>
              </w:rPr>
              <w:t xml:space="preserve">PT Equity Life Indonesia</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before="60"/>
    </w:pPr>
    <w:r>
      <w:rPr>
        <w:rFonts w:ascii="Arial" w:cs="Arial" w:eastAsia="Arial" w:hAnsi="Arial"/>
        <w:color w:val="666666"/>
        <w:sz w:val="16"/>
        <w:szCs w:val="16"/>
      </w:rPr>
      <w:t xml:space="preserve">Rahasia — Internal  |  PT Equity Life Indonesia  |  UU PDP &amp; ISO 27701:2019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4"/>
      <w:gridCol w:w="3373"/>
    </w:tblGrid>
    <w:tr>
      <w:tc>
        <w:tcPr>
          <w:tcW w:type="dxa" w:w="6264"/>
          <w:tcBorders>
            <w:top w:val="none" w:color="FFFFFF" w:sz="0"/>
            <w:left w:val="none" w:color="FFFFFF" w:sz="0"/>
            <w:bottom w:val="single" w:color="1A3C6B" w:sz="6"/>
            <w:right w:val="none" w:color="FFFFFF" w:sz="0"/>
          </w:tcBorders>
        </w:tcPr>
        <w:p>
          <w:r>
            <w:rPr>
              <w:rFonts w:ascii="Arial" w:cs="Arial" w:eastAsia="Arial" w:hAnsi="Arial"/>
              <w:b/>
              <w:bCs/>
              <w:color w:val="1A3C6B"/>
              <w:sz w:val="18"/>
              <w:szCs w:val="18"/>
            </w:rPr>
            <w:t xml:space="preserve">PT Equity Life Indonesia</w:t>
          </w:r>
        </w:p>
        <w:p>
          <w:r>
            <w:rPr>
              <w:rFonts w:ascii="Arial" w:cs="Arial" w:eastAsia="Arial" w:hAnsi="Arial"/>
              <w:color w:val="666666"/>
              <w:sz w:val="16"/>
              <w:szCs w:val="16"/>
            </w:rPr>
            <w:t xml:space="preserve">Prosedur Notifikasi Kebocoran Data Pribadi</w:t>
          </w:r>
        </w:p>
      </w:tc>
      <w:tc>
        <w:tcPr>
          <w:tcW w:type="dxa" w:w="3373"/>
          <w:tcBorders>
            <w:top w:val="none" w:color="FFFFFF" w:sz="0"/>
            <w:left w:val="none" w:color="FFFFFF" w:sz="0"/>
            <w:bottom w:val="single" w:color="1A3C6B" w:sz="6"/>
            <w:right w:val="none" w:color="FFFFFF" w:sz="0"/>
          </w:tcBorders>
        </w:tcPr>
        <w:p>
          <w:pPr>
            <w:jc w:val="right"/>
          </w:pPr>
          <w:r>
            <w:rPr>
              <w:rFonts w:ascii="Arial" w:cs="Arial" w:eastAsia="Arial" w:hAnsi="Arial"/>
              <w:color w:val="666666"/>
              <w:sz w:val="16"/>
              <w:szCs w:val="16"/>
            </w:rPr>
            <w:t xml:space="preserve">ELI-PDPISO27701-017</w:t>
          </w:r>
        </w:p>
        <w:p>
          <w:pPr>
            <w:jc w:val="right"/>
          </w:pPr>
          <w:r>
            <w:rPr>
              <w:rFonts w:ascii="Arial" w:cs="Arial" w:eastAsia="Arial" w:hAnsi="Arial"/>
              <w:color w:val="666666"/>
              <w:sz w:val="16"/>
              <w:szCs w:val="16"/>
            </w:rPr>
            <w:t xml:space="preserve">Versi 1.0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A3C6B"/>
      <w:sz w:val="32"/>
      <w:szCs w:val="32"/>
    </w:rPr>
  </w:style>
  <w:style w:type="paragraph" w:styleId="Heading2">
    <w:name w:val="Heading 2"/>
    <w:basedOn w:val="Normal"/>
    <w:next w:val="Normal"/>
    <w:qFormat/>
    <w:pPr>
      <w:spacing w:before="220" w:after="100"/>
      <w:outlineLvl w:val="1"/>
    </w:pPr>
    <w:rPr>
      <w:rFonts w:ascii="Arial" w:cs="Arial" w:eastAsia="Arial" w:hAnsi="Arial"/>
      <w:b/>
      <w:bCs/>
      <w:color w:val="2563A8"/>
      <w:sz w:val="26"/>
      <w:szCs w:val="26"/>
    </w:rPr>
  </w:style>
  <w:style w:type="paragraph" w:styleId="Heading3">
    <w:name w:val="Heading 3"/>
    <w:basedOn w:val="Normal"/>
    <w:next w:val="Normal"/>
    <w:qFormat/>
    <w:pPr>
      <w:spacing w:before="16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2026-03-21T16:52:24.666Z</dcterms:created>
  <dcterms:modified xsi:type="dcterms:W3CDTF">2026-03-21T16:52:24.666Z</dcterms:modified>
</cp:coreProperties>
</file>

<file path=docProps/custom.xml><?xml version="1.0" encoding="utf-8"?>
<Properties xmlns="http://schemas.openxmlformats.org/officeDocument/2006/custom-properties" xmlns:vt="http://schemas.openxmlformats.org/officeDocument/2006/docPropsVTypes"/>
</file>