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6B" w:sz="60" w:space="0"/>
        </w:pBdr>
        <w:shd w:fill="1A3C6B" w:val="clear"/>
        <w:spacing w:before="0" w:after="0"/>
      </w:pPr>
      <w:r>
        <w:rPr>
          <w:sz w:val="60"/>
          <w:szCs w:val="60"/>
        </w:rPr>
        <w:t xml:space="preserve"/>
      </w:r>
    </w:p>
    <w:p>
      <w:pPr>
        <w:spacing w:before="560" w:after="0"/>
      </w:pPr>
      <w:r>
        <w:t xml:space="preserve"/>
      </w:r>
    </w:p>
    <w:p>
      <w:pPr>
        <w:spacing w:before="0" w:after="80"/>
        <w:jc w:val="center"/>
      </w:pPr>
      <w:r>
        <w:rPr>
          <w:rFonts w:ascii="Arial" w:cs="Arial" w:eastAsia="Arial" w:hAnsi="Arial"/>
          <w:b/>
          <w:bCs/>
          <w:color w:val="1A3C6B"/>
          <w:sz w:val="28"/>
          <w:szCs w:val="28"/>
        </w:rPr>
        <w:t xml:space="preserve">PT Equity Life Indonesia</w:t>
      </w:r>
    </w:p>
    <w:p>
      <w:pPr>
        <w:spacing w:before="0" w:after="400"/>
        <w:jc w:val="center"/>
      </w:pPr>
      <w:r>
        <w:rPr>
          <w:rFonts w:ascii="Arial" w:cs="Arial" w:eastAsia="Arial" w:hAnsi="Arial"/>
          <w:color w:val="666666"/>
          <w:sz w:val="22"/>
          <w:szCs w:val="22"/>
        </w:rPr>
        <w:t xml:space="preserve">Technology &amp; Information Directorate</w:t>
      </w:r>
    </w:p>
    <w:p>
      <w:pPr>
        <w:spacing w:before="200" w:after="0"/>
      </w:pPr>
      <w:r>
        <w:t xml:space="preserve"/>
      </w:r>
    </w:p>
    <w:p>
      <w:pPr>
        <w:spacing w:before="0" w:after="120"/>
        <w:jc w:val="center"/>
      </w:pPr>
      <w:r>
        <w:rPr>
          <w:rFonts w:ascii="Arial" w:cs="Arial" w:eastAsia="Arial" w:hAnsi="Arial"/>
          <w:b/>
          <w:bCs/>
          <w:color w:val="C8A84B"/>
          <w:sz w:val="22"/>
          <w:szCs w:val="22"/>
        </w:rPr>
        <w:t xml:space="preserve">KEBIJAKAN</w:t>
      </w:r>
    </w:p>
    <w:p>
      <w:pPr>
        <w:pBdr>
          <w:top w:val="single" w:color="C8A84B" w:sz="4" w:space="4"/>
          <w:bottom w:val="single" w:color="C8A84B" w:sz="4" w:space="4"/>
        </w:pBdr>
        <w:spacing w:before="0" w:after="240"/>
        <w:jc w:val="center"/>
      </w:pPr>
      <w:r>
        <w:rPr>
          <w:rFonts w:ascii="Arial" w:cs="Arial" w:eastAsia="Arial" w:hAnsi="Arial"/>
          <w:b/>
          <w:bCs/>
          <w:color w:val="1A3C6B"/>
          <w:sz w:val="38"/>
          <w:szCs w:val="38"/>
        </w:rPr>
        <w:t xml:space="preserve">Kebijakan Minimisasi Data (Data Minimization)</w:t>
      </w:r>
    </w:p>
    <w:p>
      <w:pPr>
        <w:spacing w:before="4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Kode Dokumen</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ELI-PDPISO27701-030</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Versi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Versi 1.0</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Tanggal Berlaku</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Maret 2026</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Klasifikasi</w:t>
            </w:r>
          </w:p>
        </w:tc>
        <w:tc>
          <w:tcPr>
            <w:tcW w:type="dxa" w:w="3600"/>
            <w:tcBorders>
              <w:top w:val="none" w:color="FFFFFF" w:sz="0"/>
              <w:left w:val="none" w:color="FFFFFF" w:sz="0"/>
              <w:bottom w:val="none" w:color="FFFFFF" w:sz="0"/>
              <w:right w:val="none" w:color="FFFFFF" w:sz="0"/>
            </w:tcBorders>
          </w:tcPr>
          <w:p>
            <w:r>
              <w:rPr>
                <w:rFonts w:ascii="Arial" w:cs="Arial" w:eastAsia="Arial" w:hAnsi="Arial"/>
                <w:b w:val="false"/>
                <w:bCs w:val="false"/>
                <w:color w:val="C00000"/>
                <w:sz w:val="20"/>
                <w:szCs w:val="20"/>
              </w:rPr>
              <w:t xml:space="preserve">: RAHASIA — Internal</w:t>
            </w:r>
          </w:p>
        </w:tc>
      </w:tr>
    </w:tbl>
    <w:p>
      <w:pPr>
        <w:spacing w:before="600" w:after="0"/>
      </w:pPr>
      <w:r>
        <w:t xml:space="preserve"/>
      </w:r>
    </w:p>
    <w:p>
      <w:pPr>
        <w:pBdr>
          <w:top w:val="single" w:color="CCCCCC" w:sz="4" w:space="4"/>
        </w:pBdr>
        <w:spacing w:before="0" w:after="0"/>
        <w:jc w:val="center"/>
      </w:pPr>
      <w:r>
        <w:rPr>
          <w:rFonts w:ascii="Arial" w:cs="Arial" w:eastAsia="Arial" w:hAnsi="Arial"/>
          <w:i/>
          <w:iCs/>
          <w:color w:val="666666"/>
          <w:sz w:val="16"/>
          <w:szCs w:val="16"/>
        </w:rPr>
        <w:t xml:space="preserve">© 2026 PT Equity Life Indonesia. Dokumen ini bersifat rahasia dan hanya untuk penggunaan internal.</w:t>
      </w:r>
    </w:p>
    <w:p>
      <w:r>
        <w:br w:type="page"/>
      </w:r>
    </w:p>
    <w:p>
      <w:pPr>
        <w:pStyle w:val="Heading1"/>
        <w:pBdr>
          <w:bottom w:val="single" w:color="1A3C6B" w:sz="8" w:space="4"/>
        </w:pBdr>
        <w:spacing w:before="280" w:after="140"/>
      </w:pPr>
      <w:r>
        <w:rPr>
          <w:rFonts w:ascii="Arial" w:cs="Arial" w:eastAsia="Arial" w:hAnsi="Arial"/>
          <w:b/>
          <w:bCs/>
          <w:color w:val="1A3C6B"/>
          <w:sz w:val="32"/>
          <w:szCs w:val="32"/>
        </w:rPr>
        <w:t xml:space="preserve">1. Tujuan dan Dasar Hukum</w:t>
      </w:r>
    </w:p>
    <w:p>
      <w:pPr>
        <w:spacing w:before="60" w:after="60"/>
      </w:pPr>
      <w:r>
        <w:rPr>
          <w:rFonts w:ascii="Arial" w:cs="Arial" w:eastAsia="Arial" w:hAnsi="Arial"/>
          <w:color w:val="404040"/>
          <w:sz w:val="20"/>
          <w:szCs w:val="20"/>
        </w:rPr>
        <w:t xml:space="preserve">Kebijakan ini menetapkan prinsip, persyaratan, dan penerapan minimisasi data dalam seluruh aktivitas pengumpulan dan pemrosesan data pribadi oleh PT Equity Life Indonesia. Minimisasi data adalah prinsip fundamental yang mengharuskan perusahaan hanya mengumpulkan, memproses, dan menyimpan data pribadi yang benar-benar diperlukan (adequate, relevant, and limited to what is necessary) untuk tujuan pemrosesan yang telah ditetapkan.</w:t>
      </w:r>
    </w:p>
    <w:p>
      <w:pPr>
        <w:spacing w:before="60" w:after="60"/>
      </w:pPr>
      <w:r>
        <w:rPr>
          <w:rFonts w:ascii="Arial" w:cs="Arial" w:eastAsia="Arial" w:hAnsi="Arial"/>
          <w:color w:val="404040"/>
          <w:sz w:val="20"/>
          <w:szCs w:val="20"/>
        </w:rPr>
        <w:t xml:space="preserve">Dasar hukum: UU PDP Pasal 16 (kewajiban menjaga data yang diperlukan saja), ISO 27701:2019 Annex B.8.2.1, dan prinsip privasi internasional yang berlaku umum.</w:t>
      </w:r>
    </w:p>
    <w:p>
      <w:pPr>
        <w:pStyle w:val="Heading1"/>
        <w:pBdr>
          <w:bottom w:val="single" w:color="1A3C6B" w:sz="8" w:space="4"/>
        </w:pBdr>
        <w:spacing w:before="280" w:after="140"/>
      </w:pPr>
      <w:r>
        <w:rPr>
          <w:rFonts w:ascii="Arial" w:cs="Arial" w:eastAsia="Arial" w:hAnsi="Arial"/>
          <w:b/>
          <w:bCs/>
          <w:color w:val="1A3C6B"/>
          <w:sz w:val="32"/>
          <w:szCs w:val="32"/>
        </w:rPr>
        <w:t xml:space="preserve">2. Prinsip Minimisasi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4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Prinsip</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Definisi</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Penerapan di ELI</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Kecukupan (Adequate)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yang dikumpulkan harus cukup untuk memenuhi tujuan — tidak kurang dari yang diperlukan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Formulir SPAJ harus mengumpulkan data kesehatan yang cukup untuk underwriting yang akurat</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Relevansi (Relevant)</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yang dikumpulkan harus relevan dengan tujuan — tidak ada data yang tidak berhubungan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Survei kepuasan pelanggan tidak boleh meminta data kesehatan atau NIK</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Pembatasan (Limited)</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yang dikumpulkan harus dibatasi seminimal mungkin — tidak berlebihan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Proses e-KYC hanya memerlukan foto wajah, bukan seluruh data biometrik</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Spesifikasi Tujuan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Setiap field data harus memiliki justifikasi tujuan yang spesifik</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Setiap field dalam formulir harus memiliki 'why we need this' yang terdokumentasi</w:t>
            </w:r>
          </w:p>
        </w:tc>
      </w:tr>
    </w:tbl>
    <w:p>
      <w:pPr>
        <w:pStyle w:val="Heading1"/>
        <w:pBdr>
          <w:bottom w:val="single" w:color="1A3C6B" w:sz="8" w:space="4"/>
        </w:pBdr>
        <w:spacing w:before="280" w:after="140"/>
      </w:pPr>
      <w:r>
        <w:rPr>
          <w:rFonts w:ascii="Arial" w:cs="Arial" w:eastAsia="Arial" w:hAnsi="Arial"/>
          <w:b/>
          <w:bCs/>
          <w:color w:val="1A3C6B"/>
          <w:sz w:val="32"/>
          <w:szCs w:val="32"/>
        </w:rPr>
        <w:t xml:space="preserve">3. Penerapan Minimisasi Data per Proses Bisnis</w:t>
      </w:r>
    </w:p>
    <w:p>
      <w:pPr>
        <w:pStyle w:val="Heading2"/>
        <w:spacing w:before="220" w:after="100"/>
      </w:pPr>
      <w:r>
        <w:rPr>
          <w:rFonts w:ascii="Arial" w:cs="Arial" w:eastAsia="Arial" w:hAnsi="Arial"/>
          <w:b/>
          <w:bCs/>
          <w:color w:val="2563A8"/>
          <w:sz w:val="26"/>
          <w:szCs w:val="26"/>
        </w:rPr>
        <w:t xml:space="preserve">3.1 Pengumpulan Data — Formulir &amp; Aplikasi</w:t>
      </w:r>
    </w:p>
    <w:p>
      <w:pPr>
        <w:spacing w:before="60" w:after="60"/>
      </w:pPr>
      <w:r>
        <w:rPr>
          <w:rFonts w:ascii="Arial" w:cs="Arial" w:eastAsia="Arial" w:hAnsi="Arial"/>
          <w:color w:val="404040"/>
          <w:sz w:val="20"/>
          <w:szCs w:val="20"/>
        </w:rPr>
        <w:t xml:space="preserve">Setiap formulir (fisik maupun digital) yang mengumpulkan data pribadi harus melalui Data Field Review sebelum diluncurkan:</w:t>
      </w:r>
    </w:p>
    <w:p>
      <w:pPr>
        <w:pStyle w:val="ListParagraph"/>
        <w:numPr>
          <w:ilvl w:val="0"/>
          <w:numId w:val="2"/>
        </w:numPr>
        <w:spacing w:before="60" w:after="60"/>
      </w:pPr>
      <w:r>
        <w:rPr>
          <w:rFonts w:ascii="Arial" w:cs="Arial" w:eastAsia="Arial" w:hAnsi="Arial"/>
          <w:color w:val="404040"/>
          <w:sz w:val="20"/>
          <w:szCs w:val="20"/>
        </w:rPr>
        <w:t xml:space="preserve">Setiap field data harus didokumentasikan dengan justifikasi: mengapa field ini diperlukan untuk tujuan pemrosesan yang dinyatakan</w:t>
      </w:r>
    </w:p>
    <w:p>
      <w:pPr>
        <w:pStyle w:val="ListParagraph"/>
        <w:numPr>
          <w:ilvl w:val="0"/>
          <w:numId w:val="2"/>
        </w:numPr>
        <w:spacing w:before="60" w:after="60"/>
      </w:pPr>
      <w:r>
        <w:rPr>
          <w:rFonts w:ascii="Arial" w:cs="Arial" w:eastAsia="Arial" w:hAnsi="Arial"/>
          <w:color w:val="404040"/>
          <w:sz w:val="20"/>
          <w:szCs w:val="20"/>
        </w:rPr>
        <w:t xml:space="preserve">Field yang tidak memiliki justifikasi yang kuat harus dihapus dari formulir</w:t>
      </w:r>
    </w:p>
    <w:p>
      <w:pPr>
        <w:pStyle w:val="ListParagraph"/>
        <w:numPr>
          <w:ilvl w:val="0"/>
          <w:numId w:val="2"/>
        </w:numPr>
        <w:spacing w:before="60" w:after="60"/>
      </w:pPr>
      <w:r>
        <w:rPr>
          <w:rFonts w:ascii="Arial" w:cs="Arial" w:eastAsia="Arial" w:hAnsi="Arial"/>
          <w:color w:val="404040"/>
          <w:sz w:val="20"/>
          <w:szCs w:val="20"/>
        </w:rPr>
        <w:t xml:space="preserve">Field 'opsional' harus benar-benar opsional — tidak boleh memblokir proses jika tidak diisi</w:t>
      </w:r>
    </w:p>
    <w:p>
      <w:pPr>
        <w:pStyle w:val="ListParagraph"/>
        <w:numPr>
          <w:ilvl w:val="0"/>
          <w:numId w:val="2"/>
        </w:numPr>
        <w:spacing w:before="60" w:after="60"/>
      </w:pPr>
      <w:r>
        <w:rPr>
          <w:rFonts w:ascii="Arial" w:cs="Arial" w:eastAsia="Arial" w:hAnsi="Arial"/>
          <w:color w:val="404040"/>
          <w:sz w:val="20"/>
          <w:szCs w:val="20"/>
        </w:rPr>
        <w:t xml:space="preserve">Review dilakukan oleh DPO sebelum formulir baru diluncurkan atau formulir yang ada diubah</w:t>
      </w:r>
    </w:p>
    <w:p>
      <w:pPr>
        <w:spacing w:before="120" w:after="0"/>
      </w:pPr>
      <w:r>
        <w:t xml:space="preserve"/>
      </w:r>
    </w:p>
    <w:p>
      <w:pPr>
        <w:pBdr>
          <w:left w:val="single" w:color="375623" w:sz="16" w:space="8"/>
        </w:pBdr>
        <w:shd w:fill="E2EFDA" w:val="clear"/>
        <w:spacing w:before="80" w:after="80"/>
        <w:ind w:left="360"/>
      </w:pPr>
      <w:r>
        <w:rPr>
          <w:rFonts w:ascii="Arial" w:cs="Arial" w:eastAsia="Arial" w:hAnsi="Arial"/>
          <w:i/>
          <w:iCs/>
          <w:color w:val="404040"/>
          <w:sz w:val="20"/>
          <w:szCs w:val="20"/>
        </w:rPr>
        <w:t xml:space="preserve">Contoh baik: Formulir SPAJ meminta 'riwayat penyakit 5 tahun terakhir' — justified untuk underwriting. Contoh tidak baik: Formulir yang sama meminta 'akun media sosial' — tidak ada justifikasi yang valid untuk asuransi jiwa.</w:t>
      </w:r>
    </w:p>
    <w:p>
      <w:pPr>
        <w:pStyle w:val="Heading2"/>
        <w:spacing w:before="220" w:after="100"/>
      </w:pPr>
      <w:r>
        <w:rPr>
          <w:rFonts w:ascii="Arial" w:cs="Arial" w:eastAsia="Arial" w:hAnsi="Arial"/>
          <w:b/>
          <w:bCs/>
          <w:color w:val="2563A8"/>
          <w:sz w:val="26"/>
          <w:szCs w:val="26"/>
        </w:rPr>
        <w:t xml:space="preserve">3.2 Pengembangan Aplikasi — Privacy by Design</w:t>
      </w:r>
    </w:p>
    <w:p>
      <w:pPr>
        <w:spacing w:before="60" w:after="60"/>
      </w:pPr>
      <w:r>
        <w:rPr>
          <w:rFonts w:ascii="Arial" w:cs="Arial" w:eastAsia="Arial" w:hAnsi="Arial"/>
          <w:color w:val="404040"/>
          <w:sz w:val="20"/>
          <w:szCs w:val="20"/>
        </w:rPr>
        <w:t xml:space="preserve">Setiap proyek pengembangan aplikasi atau fitur baru yang melibatkan data pribadi harus menerapkan minimisasi data dari tahap desain:</w:t>
      </w:r>
    </w:p>
    <w:p>
      <w:pPr>
        <w:pStyle w:val="ListParagraph"/>
        <w:numPr>
          <w:ilvl w:val="0"/>
          <w:numId w:val="3"/>
        </w:numPr>
        <w:spacing w:before="40" w:after="40"/>
      </w:pPr>
      <w:r>
        <w:rPr>
          <w:rFonts w:ascii="Arial" w:cs="Arial" w:eastAsia="Arial" w:hAnsi="Arial"/>
          <w:color w:val="404040"/>
          <w:sz w:val="20"/>
          <w:szCs w:val="20"/>
        </w:rPr>
        <w:t xml:space="preserve">Lakukan Privacy Impact pre-screening sebelum mulai pengembangan fitur baru</w:t>
      </w:r>
    </w:p>
    <w:p>
      <w:pPr>
        <w:pStyle w:val="ListParagraph"/>
        <w:numPr>
          <w:ilvl w:val="0"/>
          <w:numId w:val="3"/>
        </w:numPr>
        <w:spacing w:before="40" w:after="40"/>
      </w:pPr>
      <w:r>
        <w:rPr>
          <w:rFonts w:ascii="Arial" w:cs="Arial" w:eastAsia="Arial" w:hAnsi="Arial"/>
          <w:color w:val="404040"/>
          <w:sz w:val="20"/>
          <w:szCs w:val="20"/>
        </w:rPr>
        <w:t xml:space="preserve">API yang mengambil data dari core system hanya boleh mengembalikan field yang benar-benar diperlukan (no over-fetching)</w:t>
      </w:r>
    </w:p>
    <w:p>
      <w:pPr>
        <w:pStyle w:val="ListParagraph"/>
        <w:numPr>
          <w:ilvl w:val="0"/>
          <w:numId w:val="3"/>
        </w:numPr>
        <w:spacing w:before="40" w:after="40"/>
      </w:pPr>
      <w:r>
        <w:rPr>
          <w:rFonts w:ascii="Arial" w:cs="Arial" w:eastAsia="Arial" w:hAnsi="Arial"/>
          <w:color w:val="404040"/>
          <w:sz w:val="20"/>
          <w:szCs w:val="20"/>
        </w:rPr>
        <w:t xml:space="preserve">Gunakan tokenisasi atau pseudonimisasi untuk data yang tidak perlu ditampilkan dalam format aslinya</w:t>
      </w:r>
    </w:p>
    <w:p>
      <w:pPr>
        <w:pStyle w:val="ListParagraph"/>
        <w:numPr>
          <w:ilvl w:val="0"/>
          <w:numId w:val="3"/>
        </w:numPr>
        <w:spacing w:before="40" w:after="40"/>
      </w:pPr>
      <w:r>
        <w:rPr>
          <w:rFonts w:ascii="Arial" w:cs="Arial" w:eastAsia="Arial" w:hAnsi="Arial"/>
          <w:color w:val="404040"/>
          <w:sz w:val="20"/>
          <w:szCs w:val="20"/>
        </w:rPr>
        <w:t xml:space="preserve">Log sistem tidak boleh menyimpan data Kelas 1 dalam format plain text</w:t>
      </w:r>
    </w:p>
    <w:p>
      <w:pPr>
        <w:pStyle w:val="ListParagraph"/>
        <w:numPr>
          <w:ilvl w:val="0"/>
          <w:numId w:val="3"/>
        </w:numPr>
        <w:spacing w:before="40" w:after="40"/>
      </w:pPr>
      <w:r>
        <w:rPr>
          <w:rFonts w:ascii="Arial" w:cs="Arial" w:eastAsia="Arial" w:hAnsi="Arial"/>
          <w:color w:val="404040"/>
          <w:sz w:val="20"/>
          <w:szCs w:val="20"/>
        </w:rPr>
        <w:t xml:space="preserve">Environment development dan testing wajib menggunakan data yang sudah dianonimkan</w:t>
      </w:r>
    </w:p>
    <w:p>
      <w:pPr>
        <w:pStyle w:val="Heading2"/>
        <w:spacing w:before="220" w:after="100"/>
      </w:pPr>
      <w:r>
        <w:rPr>
          <w:rFonts w:ascii="Arial" w:cs="Arial" w:eastAsia="Arial" w:hAnsi="Arial"/>
          <w:b/>
          <w:bCs/>
          <w:color w:val="2563A8"/>
          <w:sz w:val="26"/>
          <w:szCs w:val="26"/>
        </w:rPr>
        <w:t xml:space="preserve">3.3 Analitik &amp; Business Intelligence</w:t>
      </w:r>
    </w:p>
    <w:p>
      <w:pPr>
        <w:spacing w:before="60" w:after="60"/>
      </w:pPr>
      <w:r>
        <w:rPr>
          <w:rFonts w:ascii="Arial" w:cs="Arial" w:eastAsia="Arial" w:hAnsi="Arial"/>
          <w:color w:val="404040"/>
          <w:sz w:val="20"/>
          <w:szCs w:val="20"/>
        </w:rPr>
        <w:t xml:space="preserve">Penggunaan data nasabah untuk analitik harus mengikuti prinsip minimisasi:</w:t>
      </w:r>
    </w:p>
    <w:p>
      <w:pPr>
        <w:pStyle w:val="ListParagraph"/>
        <w:numPr>
          <w:ilvl w:val="0"/>
          <w:numId w:val="3"/>
        </w:numPr>
        <w:spacing w:before="40" w:after="40"/>
      </w:pPr>
      <w:r>
        <w:rPr>
          <w:rFonts w:ascii="Arial" w:cs="Arial" w:eastAsia="Arial" w:hAnsi="Arial"/>
          <w:color w:val="404040"/>
          <w:sz w:val="20"/>
          <w:szCs w:val="20"/>
        </w:rPr>
        <w:t xml:space="preserve">Gunakan data agregat atau anonim untuk analitik yang tidak memerlukan identifikasi individu</w:t>
      </w:r>
    </w:p>
    <w:p>
      <w:pPr>
        <w:pStyle w:val="ListParagraph"/>
        <w:numPr>
          <w:ilvl w:val="0"/>
          <w:numId w:val="3"/>
        </w:numPr>
        <w:spacing w:before="40" w:after="40"/>
      </w:pPr>
      <w:r>
        <w:rPr>
          <w:rFonts w:ascii="Arial" w:cs="Arial" w:eastAsia="Arial" w:hAnsi="Arial"/>
          <w:color w:val="404040"/>
          <w:sz w:val="20"/>
          <w:szCs w:val="20"/>
        </w:rPr>
        <w:t xml:space="preserve">Pseudonimisasi wajib diterapkan sebelum data digunakan untuk analitik non-operasional</w:t>
      </w:r>
    </w:p>
    <w:p>
      <w:pPr>
        <w:pStyle w:val="ListParagraph"/>
        <w:numPr>
          <w:ilvl w:val="0"/>
          <w:numId w:val="3"/>
        </w:numPr>
        <w:spacing w:before="40" w:after="40"/>
      </w:pPr>
      <w:r>
        <w:rPr>
          <w:rFonts w:ascii="Arial" w:cs="Arial" w:eastAsia="Arial" w:hAnsi="Arial"/>
          <w:color w:val="404040"/>
          <w:sz w:val="20"/>
          <w:szCs w:val="20"/>
        </w:rPr>
        <w:t xml:space="preserve">Dashboard BI tidak boleh menampilkan data identifikasi individu kecuali ada kebutuhan bisnis yang spesifik</w:t>
      </w:r>
    </w:p>
    <w:p>
      <w:pPr>
        <w:pStyle w:val="ListParagraph"/>
        <w:numPr>
          <w:ilvl w:val="0"/>
          <w:numId w:val="3"/>
        </w:numPr>
        <w:spacing w:before="40" w:after="40"/>
      </w:pPr>
      <w:r>
        <w:rPr>
          <w:rFonts w:ascii="Arial" w:cs="Arial" w:eastAsia="Arial" w:hAnsi="Arial"/>
          <w:color w:val="404040"/>
          <w:sz w:val="20"/>
          <w:szCs w:val="20"/>
        </w:rPr>
        <w:t xml:space="preserve">Data science dan machine learning menggunakan dataset yang sudah dianonimkan kecuali model memerlukan identitas (misalnya: fraud detection real-time)</w:t>
      </w:r>
    </w:p>
    <w:p>
      <w:pPr>
        <w:pStyle w:val="Heading2"/>
        <w:spacing w:before="220" w:after="100"/>
      </w:pPr>
      <w:r>
        <w:rPr>
          <w:rFonts w:ascii="Arial" w:cs="Arial" w:eastAsia="Arial" w:hAnsi="Arial"/>
          <w:b/>
          <w:bCs/>
          <w:color w:val="2563A8"/>
          <w:sz w:val="26"/>
          <w:szCs w:val="26"/>
        </w:rPr>
        <w:t xml:space="preserve">3.4 Komunikasi &amp; Pemasaran</w:t>
      </w:r>
    </w:p>
    <w:p>
      <w:pPr>
        <w:spacing w:before="60" w:after="60"/>
      </w:pPr>
      <w:r>
        <w:rPr>
          <w:rFonts w:ascii="Arial" w:cs="Arial" w:eastAsia="Arial" w:hAnsi="Arial"/>
          <w:color w:val="404040"/>
          <w:sz w:val="20"/>
          <w:szCs w:val="20"/>
        </w:rPr>
        <w:t xml:space="preserve">Aktivitas pemasaran harus mematuhi minimisasi data:</w:t>
      </w:r>
    </w:p>
    <w:p>
      <w:pPr>
        <w:pStyle w:val="ListParagraph"/>
        <w:numPr>
          <w:ilvl w:val="0"/>
          <w:numId w:val="3"/>
        </w:numPr>
        <w:spacing w:before="40" w:after="40"/>
      </w:pPr>
      <w:r>
        <w:rPr>
          <w:rFonts w:ascii="Arial" w:cs="Arial" w:eastAsia="Arial" w:hAnsi="Arial"/>
          <w:color w:val="404040"/>
          <w:sz w:val="20"/>
          <w:szCs w:val="20"/>
        </w:rPr>
        <w:t xml:space="preserve">Segmentasi pemasaran menggunakan data demografis agregat, bukan profil individu yang detail</w:t>
      </w:r>
    </w:p>
    <w:p>
      <w:pPr>
        <w:pStyle w:val="ListParagraph"/>
        <w:numPr>
          <w:ilvl w:val="0"/>
          <w:numId w:val="3"/>
        </w:numPr>
        <w:spacing w:before="40" w:after="40"/>
      </w:pPr>
      <w:r>
        <w:rPr>
          <w:rFonts w:ascii="Arial" w:cs="Arial" w:eastAsia="Arial" w:hAnsi="Arial"/>
          <w:color w:val="404040"/>
          <w:sz w:val="20"/>
          <w:szCs w:val="20"/>
        </w:rPr>
        <w:t xml:space="preserve">Email marketing hanya menggunakan: nama, email, produk yang dimiliki — tidak menggunakan data kesehatan untuk targeting</w:t>
      </w:r>
    </w:p>
    <w:p>
      <w:pPr>
        <w:pStyle w:val="ListParagraph"/>
        <w:numPr>
          <w:ilvl w:val="0"/>
          <w:numId w:val="3"/>
        </w:numPr>
        <w:spacing w:before="40" w:after="40"/>
      </w:pPr>
      <w:r>
        <w:rPr>
          <w:rFonts w:ascii="Arial" w:cs="Arial" w:eastAsia="Arial" w:hAnsi="Arial"/>
          <w:color w:val="404040"/>
          <w:sz w:val="20"/>
          <w:szCs w:val="20"/>
        </w:rPr>
        <w:t xml:space="preserve">Opt-out harus segera diproses dan data pemasaran nasabah yang opt-out dihapus dari semua list distribusi</w:t>
      </w:r>
    </w:p>
    <w:p>
      <w:pPr>
        <w:pStyle w:val="Heading1"/>
        <w:pBdr>
          <w:bottom w:val="single" w:color="1A3C6B" w:sz="8" w:space="4"/>
        </w:pBdr>
        <w:spacing w:before="280" w:after="140"/>
      </w:pPr>
      <w:r>
        <w:rPr>
          <w:rFonts w:ascii="Arial" w:cs="Arial" w:eastAsia="Arial" w:hAnsi="Arial"/>
          <w:b/>
          <w:bCs/>
          <w:color w:val="1A3C6B"/>
          <w:sz w:val="32"/>
          <w:szCs w:val="32"/>
        </w:rPr>
        <w:t xml:space="preserve">4. Data Field Review — Prosedur</w:t>
      </w:r>
    </w:p>
    <w:p>
      <w:pPr>
        <w:spacing w:before="60" w:after="60"/>
      </w:pPr>
      <w:r>
        <w:rPr>
          <w:rFonts w:ascii="Arial" w:cs="Arial" w:eastAsia="Arial" w:hAnsi="Arial"/>
          <w:color w:val="404040"/>
          <w:sz w:val="20"/>
          <w:szCs w:val="20"/>
        </w:rPr>
        <w:t xml:space="preserve">Setiap permintaan penambahan field data baru dalam sistem harus melalui proses Data Field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500"/>
        <w:gridCol w:w="26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Pertanyaan</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Jika Ya</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Jika Tidak</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data ini diperlukan untuk tujuan bisnis yang spesifik?</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Lanjut ke pertanyaan 2</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TOLAK — hapus field</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2</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tidak ada cara lain untuk mencapai tujuan tersebut tanpa data ini?</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Lanjut ke pertanyaan 3</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REVISI — pertimbangkan alternatif</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3</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ada dasar hukum yang valid untuk mengumpulkan data ini?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Lanjut ke pertanyaan 4</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TOLAK — tidak ada basis hukum</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4</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nasabah akan memahami mengapa data ini dikumpulkan?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Lanjut ke pertanyaan 5</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REVISI — tambahkan penjelasan yang jelas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5</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data ini masuk dalam klasifikasi yang sesuai dan kontrol yang memadai sudah ada?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SETUJUI dengan dokumentasi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TUNDA — lengkapi kontrol terlebih dahulu</w:t>
            </w:r>
          </w:p>
        </w:tc>
      </w:tr>
    </w:tbl>
    <w:p>
      <w:pPr>
        <w:pStyle w:val="Heading1"/>
        <w:pBdr>
          <w:bottom w:val="single" w:color="1A3C6B" w:sz="8" w:space="4"/>
        </w:pBdr>
        <w:spacing w:before="280" w:after="140"/>
      </w:pPr>
      <w:r>
        <w:rPr>
          <w:rFonts w:ascii="Arial" w:cs="Arial" w:eastAsia="Arial" w:hAnsi="Arial"/>
          <w:b/>
          <w:bCs/>
          <w:color w:val="1A3C6B"/>
          <w:sz w:val="32"/>
          <w:szCs w:val="32"/>
        </w:rPr>
        <w:t xml:space="preserve">5. Tanggung Jawab</w:t>
      </w:r>
    </w:p>
    <w:p>
      <w:pPr>
        <w:pStyle w:val="ListParagraph"/>
        <w:numPr>
          <w:ilvl w:val="0"/>
          <w:numId w:val="3"/>
        </w:numPr>
        <w:spacing w:before="40" w:after="40"/>
      </w:pPr>
      <w:r>
        <w:rPr>
          <w:rFonts w:ascii="Arial" w:cs="Arial" w:eastAsia="Arial" w:hAnsi="Arial"/>
          <w:color w:val="404040"/>
          <w:sz w:val="20"/>
          <w:szCs w:val="20"/>
        </w:rPr>
        <w:t xml:space="preserve">DPO: Menetapkan standar minimisasi data; me-review dan menyetujui penambahan field data baru; memantau kepatuhan</w:t>
      </w:r>
    </w:p>
    <w:p>
      <w:pPr>
        <w:pStyle w:val="ListParagraph"/>
        <w:numPr>
          <w:ilvl w:val="0"/>
          <w:numId w:val="3"/>
        </w:numPr>
        <w:spacing w:before="40" w:after="40"/>
      </w:pPr>
      <w:r>
        <w:rPr>
          <w:rFonts w:ascii="Arial" w:cs="Arial" w:eastAsia="Arial" w:hAnsi="Arial"/>
          <w:color w:val="404040"/>
          <w:sz w:val="20"/>
          <w:szCs w:val="20"/>
        </w:rPr>
        <w:t xml:space="preserve">Digital Solution Development: Menerapkan minimisasi dalam SDLC; memastikan API tidak over-fetch data</w:t>
      </w:r>
    </w:p>
    <w:p>
      <w:pPr>
        <w:pStyle w:val="ListParagraph"/>
        <w:numPr>
          <w:ilvl w:val="0"/>
          <w:numId w:val="3"/>
        </w:numPr>
        <w:spacing w:before="40" w:after="40"/>
      </w:pPr>
      <w:r>
        <w:rPr>
          <w:rFonts w:ascii="Arial" w:cs="Arial" w:eastAsia="Arial" w:hAnsi="Arial"/>
          <w:color w:val="404040"/>
          <w:sz w:val="20"/>
          <w:szCs w:val="20"/>
        </w:rPr>
        <w:t xml:space="preserve">Business Analyst: Mendokumentasikan justifikasi setiap field data dalam BRD/FSD</w:t>
      </w:r>
    </w:p>
    <w:p>
      <w:pPr>
        <w:pStyle w:val="ListParagraph"/>
        <w:numPr>
          <w:ilvl w:val="0"/>
          <w:numId w:val="3"/>
        </w:numPr>
        <w:spacing w:before="40" w:after="40"/>
      </w:pPr>
      <w:r>
        <w:rPr>
          <w:rFonts w:ascii="Arial" w:cs="Arial" w:eastAsia="Arial" w:hAnsi="Arial"/>
          <w:color w:val="404040"/>
          <w:sz w:val="20"/>
          <w:szCs w:val="20"/>
        </w:rPr>
        <w:t xml:space="preserve">Data Management: Memastikan query dan report tidak mengambil data berlebih</w:t>
      </w:r>
    </w:p>
    <w:p>
      <w:pPr>
        <w:pStyle w:val="ListParagraph"/>
        <w:numPr>
          <w:ilvl w:val="0"/>
          <w:numId w:val="3"/>
        </w:numPr>
        <w:spacing w:before="40" w:after="40"/>
      </w:pPr>
      <w:r>
        <w:rPr>
          <w:rFonts w:ascii="Arial" w:cs="Arial" w:eastAsia="Arial" w:hAnsi="Arial"/>
          <w:color w:val="404040"/>
          <w:sz w:val="20"/>
          <w:szCs w:val="20"/>
        </w:rPr>
        <w:t xml:space="preserve">Product Development: Memastikan produk baru tidak mensyaratkan pengumpulan data yang tidak proporsional</w:t>
      </w:r>
    </w:p>
    <w:p>
      <w:pPr>
        <w:pStyle w:val="Heading1"/>
        <w:pBdr>
          <w:bottom w:val="single" w:color="1A3C6B" w:sz="8" w:space="4"/>
        </w:pBdr>
        <w:spacing w:before="280" w:after="140"/>
      </w:pPr>
      <w:r>
        <w:rPr>
          <w:rFonts w:ascii="Arial" w:cs="Arial" w:eastAsia="Arial" w:hAnsi="Arial"/>
          <w:b/>
          <w:bCs/>
          <w:color w:val="1A3C6B"/>
          <w:sz w:val="32"/>
          <w:szCs w:val="32"/>
        </w:rPr>
        <w:t xml:space="preserve">6. Persetujuan Dokumen</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Disusun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Diperiksa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Disetujui oleh</w:t>
            </w:r>
          </w:p>
        </w:tc>
      </w:tr>
      <w:tr>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r>
      <w:tr>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DPO / Privacy Officer</w:t>
            </w:r>
          </w:p>
          <w:p>
            <w:pPr>
              <w:jc w:val="center"/>
            </w:pPr>
            <w:r>
              <w:rPr>
                <w:rFonts w:ascii="Arial" w:cs="Arial" w:eastAsia="Arial" w:hAnsi="Arial"/>
                <w:color w:val="666666"/>
                <w:sz w:val="18"/>
                <w:szCs w:val="18"/>
              </w:rPr>
              <w:t xml:space="preserve">IT Security &amp; Governance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Head of Data Management</w:t>
            </w:r>
          </w:p>
          <w:p>
            <w:pPr>
              <w:jc w:val="center"/>
            </w:pPr>
            <w:r>
              <w:rPr>
                <w:rFonts w:ascii="Arial" w:cs="Arial" w:eastAsia="Arial" w:hAnsi="Arial"/>
                <w:color w:val="666666"/>
                <w:sz w:val="18"/>
                <w:szCs w:val="18"/>
              </w:rPr>
              <w:t xml:space="preserve">Digital Solution Development</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Direktur Technology &amp; Information</w:t>
            </w:r>
          </w:p>
          <w:p>
            <w:pPr>
              <w:jc w:val="center"/>
            </w:pPr>
            <w:r>
              <w:rPr>
                <w:rFonts w:ascii="Arial" w:cs="Arial" w:eastAsia="Arial" w:hAnsi="Arial"/>
                <w:color w:val="666666"/>
                <w:sz w:val="18"/>
                <w:szCs w:val="18"/>
              </w:rPr>
              <w:t xml:space="preserve">PT Equity Life Indonesia</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rFonts w:ascii="Arial" w:cs="Arial" w:eastAsia="Arial" w:hAnsi="Arial"/>
        <w:color w:val="666666"/>
        <w:sz w:val="16"/>
        <w:szCs w:val="16"/>
      </w:rPr>
      <w:t xml:space="preserve">Rahasia — Internal  |  PT Equity Life Indonesia  |  UU PDP &amp; ISO 27701:2019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c>
        <w:tcPr>
          <w:tcW w:type="dxa" w:w="6264"/>
          <w:tcBorders>
            <w:top w:val="none" w:color="FFFFFF" w:sz="0"/>
            <w:left w:val="none" w:color="FFFFFF" w:sz="0"/>
            <w:bottom w:val="single" w:color="1A3C6B" w:sz="6"/>
            <w:right w:val="none" w:color="FFFFFF" w:sz="0"/>
          </w:tcBorders>
        </w:tcPr>
        <w:p>
          <w:r>
            <w:rPr>
              <w:rFonts w:ascii="Arial" w:cs="Arial" w:eastAsia="Arial" w:hAnsi="Arial"/>
              <w:b/>
              <w:bCs/>
              <w:color w:val="1A3C6B"/>
              <w:sz w:val="18"/>
              <w:szCs w:val="18"/>
            </w:rPr>
            <w:t xml:space="preserve">PT Equity Life Indonesia</w:t>
          </w:r>
        </w:p>
        <w:p>
          <w:r>
            <w:rPr>
              <w:rFonts w:ascii="Arial" w:cs="Arial" w:eastAsia="Arial" w:hAnsi="Arial"/>
              <w:color w:val="666666"/>
              <w:sz w:val="16"/>
              <w:szCs w:val="16"/>
            </w:rPr>
            <w:t xml:space="preserve">Kebijakan Minimisasi Data (Data Minimization)</w:t>
          </w:r>
        </w:p>
      </w:tc>
      <w:tc>
        <w:tcPr>
          <w:tcW w:type="dxa" w:w="3373"/>
          <w:tcBorders>
            <w:top w:val="none" w:color="FFFFFF" w:sz="0"/>
            <w:left w:val="none" w:color="FFFFFF" w:sz="0"/>
            <w:bottom w:val="single" w:color="1A3C6B" w:sz="6"/>
            <w:right w:val="none" w:color="FFFFFF" w:sz="0"/>
          </w:tcBorders>
        </w:tcPr>
        <w:p>
          <w:pPr>
            <w:jc w:val="right"/>
          </w:pPr>
          <w:r>
            <w:rPr>
              <w:rFonts w:ascii="Arial" w:cs="Arial" w:eastAsia="Arial" w:hAnsi="Arial"/>
              <w:color w:val="666666"/>
              <w:sz w:val="16"/>
              <w:szCs w:val="16"/>
            </w:rPr>
            <w:t xml:space="preserve">ELI-PDPISO27701-030</w:t>
          </w:r>
        </w:p>
        <w:p>
          <w:pPr>
            <w:jc w:val="right"/>
          </w:pPr>
          <w:r>
            <w:rPr>
              <w:rFonts w:ascii="Arial" w:cs="Arial" w:eastAsia="Arial" w:hAnsi="Arial"/>
              <w:color w:val="666666"/>
              <w:sz w:val="16"/>
              <w:szCs w:val="16"/>
            </w:rPr>
            <w:t xml:space="preserve">Versi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C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2026-03-21T16:52:24.907Z</dcterms:created>
  <dcterms:modified xsi:type="dcterms:W3CDTF">2026-03-21T16:52:24.907Z</dcterms:modified>
</cp:coreProperties>
</file>

<file path=docProps/custom.xml><?xml version="1.0" encoding="utf-8"?>
<Properties xmlns="http://schemas.openxmlformats.org/officeDocument/2006/custom-properties" xmlns:vt="http://schemas.openxmlformats.org/officeDocument/2006/docPropsVTypes"/>
</file>