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6B" w:sz="60" w:space="0"/>
        </w:pBdr>
        <w:shd w:fill="1A3C6B" w:val="clear"/>
        <w:spacing w:before="0" w:after="0"/>
      </w:pPr>
      <w:r>
        <w:rPr>
          <w:sz w:val="60"/>
          <w:szCs w:val="60"/>
        </w:rPr>
        <w:t xml:space="preserve"/>
      </w:r>
    </w:p>
    <w:p>
      <w:pPr>
        <w:spacing w:before="560" w:after="0"/>
      </w:pPr>
      <w:r>
        <w:t xml:space="preserve"/>
      </w:r>
    </w:p>
    <w:p>
      <w:pPr>
        <w:spacing w:before="0" w:after="80"/>
        <w:jc w:val="center"/>
      </w:pPr>
      <w:r>
        <w:rPr>
          <w:rFonts w:ascii="Arial" w:cs="Arial" w:eastAsia="Arial" w:hAnsi="Arial"/>
          <w:b/>
          <w:bCs/>
          <w:color w:val="1A3C6B"/>
          <w:sz w:val="28"/>
          <w:szCs w:val="28"/>
        </w:rPr>
        <w:t xml:space="preserve">PT Equity Life Indonesia</w:t>
      </w:r>
    </w:p>
    <w:p>
      <w:pPr>
        <w:spacing w:before="0" w:after="400"/>
        <w:jc w:val="center"/>
      </w:pPr>
      <w:r>
        <w:rPr>
          <w:rFonts w:ascii="Arial" w:cs="Arial" w:eastAsia="Arial" w:hAnsi="Arial"/>
          <w:color w:val="666666"/>
          <w:sz w:val="22"/>
          <w:szCs w:val="22"/>
        </w:rPr>
        <w:t xml:space="preserve">Technology &amp; Information Directorate</w:t>
      </w:r>
    </w:p>
    <w:p>
      <w:pPr>
        <w:spacing w:before="200" w:after="0"/>
      </w:pPr>
      <w:r>
        <w:t xml:space="preserve"/>
      </w:r>
    </w:p>
    <w:p>
      <w:pPr>
        <w:spacing w:before="0" w:after="120"/>
        <w:jc w:val="center"/>
      </w:pPr>
      <w:r>
        <w:rPr>
          <w:rFonts w:ascii="Arial" w:cs="Arial" w:eastAsia="Arial" w:hAnsi="Arial"/>
          <w:b/>
          <w:bCs/>
          <w:color w:val="C8A84B"/>
          <w:sz w:val="22"/>
          <w:szCs w:val="22"/>
        </w:rPr>
        <w:t xml:space="preserve">PROSEDUR TEKNIS</w:t>
      </w:r>
    </w:p>
    <w:p>
      <w:pPr>
        <w:pBdr>
          <w:top w:val="single" w:color="C8A84B" w:sz="4" w:space="4"/>
          <w:bottom w:val="single" w:color="C8A84B" w:sz="4" w:space="4"/>
        </w:pBdr>
        <w:spacing w:before="0" w:after="240"/>
        <w:jc w:val="center"/>
      </w:pPr>
      <w:r>
        <w:rPr>
          <w:rFonts w:ascii="Arial" w:cs="Arial" w:eastAsia="Arial" w:hAnsi="Arial"/>
          <w:b/>
          <w:bCs/>
          <w:color w:val="1A3C6B"/>
          <w:sz w:val="38"/>
          <w:szCs w:val="38"/>
        </w:rPr>
        <w:t xml:space="preserve">Prosedur Pseudonimisasi &amp; Anonimisasi Data Pribadi</w:t>
      </w:r>
    </w:p>
    <w:p>
      <w:pPr>
        <w:spacing w:before="400" w:after="0"/>
      </w:pPr>
      <w:r>
        <w:t xml:space="preserve"/>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tblGrid>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Kode Dokumen</w:t>
            </w:r>
          </w:p>
        </w:tc>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404040"/>
                <w:sz w:val="20"/>
                <w:szCs w:val="20"/>
              </w:rPr>
              <w:t xml:space="preserve">: ELI-PDPISO27701-031</w:t>
            </w:r>
          </w:p>
        </w:tc>
      </w:tr>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Versi</w:t>
            </w:r>
          </w:p>
        </w:tc>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404040"/>
                <w:sz w:val="20"/>
                <w:szCs w:val="20"/>
              </w:rPr>
              <w:t xml:space="preserve">: Versi 1.0</w:t>
            </w:r>
          </w:p>
        </w:tc>
      </w:tr>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Tanggal Berlaku</w:t>
            </w:r>
          </w:p>
        </w:tc>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404040"/>
                <w:sz w:val="20"/>
                <w:szCs w:val="20"/>
              </w:rPr>
              <w:t xml:space="preserve">: Maret 2026</w:t>
            </w:r>
          </w:p>
        </w:tc>
      </w:tr>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Klasifikasi</w:t>
            </w:r>
          </w:p>
        </w:tc>
        <w:tc>
          <w:tcPr>
            <w:tcW w:type="dxa" w:w="3600"/>
            <w:tcBorders>
              <w:top w:val="none" w:color="FFFFFF" w:sz="0"/>
              <w:left w:val="none" w:color="FFFFFF" w:sz="0"/>
              <w:bottom w:val="none" w:color="FFFFFF" w:sz="0"/>
              <w:right w:val="none" w:color="FFFFFF" w:sz="0"/>
            </w:tcBorders>
          </w:tcPr>
          <w:p>
            <w:r>
              <w:rPr>
                <w:rFonts w:ascii="Arial" w:cs="Arial" w:eastAsia="Arial" w:hAnsi="Arial"/>
                <w:b w:val="false"/>
                <w:bCs w:val="false"/>
                <w:color w:val="C00000"/>
                <w:sz w:val="20"/>
                <w:szCs w:val="20"/>
              </w:rPr>
              <w:t xml:space="preserve">: RAHASIA — Internal</w:t>
            </w:r>
          </w:p>
        </w:tc>
      </w:tr>
    </w:tbl>
    <w:p>
      <w:pPr>
        <w:spacing w:before="600" w:after="0"/>
      </w:pPr>
      <w:r>
        <w:t xml:space="preserve"/>
      </w:r>
    </w:p>
    <w:p>
      <w:pPr>
        <w:pBdr>
          <w:top w:val="single" w:color="CCCCCC" w:sz="4" w:space="4"/>
        </w:pBdr>
        <w:spacing w:before="0" w:after="0"/>
        <w:jc w:val="center"/>
      </w:pPr>
      <w:r>
        <w:rPr>
          <w:rFonts w:ascii="Arial" w:cs="Arial" w:eastAsia="Arial" w:hAnsi="Arial"/>
          <w:i/>
          <w:iCs/>
          <w:color w:val="666666"/>
          <w:sz w:val="16"/>
          <w:szCs w:val="16"/>
        </w:rPr>
        <w:t xml:space="preserve">© 2026 PT Equity Life Indonesia. Dokumen ini bersifat rahasia dan hanya untuk penggunaan internal.</w:t>
      </w:r>
    </w:p>
    <w:p>
      <w:r>
        <w:br w:type="page"/>
      </w:r>
    </w:p>
    <w:p>
      <w:pPr>
        <w:pStyle w:val="Heading1"/>
        <w:pBdr>
          <w:bottom w:val="single" w:color="1A3C6B" w:sz="8" w:space="4"/>
        </w:pBdr>
        <w:spacing w:before="280" w:after="140"/>
      </w:pPr>
      <w:r>
        <w:rPr>
          <w:rFonts w:ascii="Arial" w:cs="Arial" w:eastAsia="Arial" w:hAnsi="Arial"/>
          <w:b/>
          <w:bCs/>
          <w:color w:val="1A3C6B"/>
          <w:sz w:val="32"/>
          <w:szCs w:val="32"/>
        </w:rPr>
        <w:t xml:space="preserve">1. Tujuan dan Dasar Hukum</w:t>
      </w:r>
    </w:p>
    <w:p>
      <w:pPr>
        <w:spacing w:before="60" w:after="60"/>
      </w:pPr>
      <w:r>
        <w:rPr>
          <w:rFonts w:ascii="Arial" w:cs="Arial" w:eastAsia="Arial" w:hAnsi="Arial"/>
          <w:color w:val="404040"/>
          <w:sz w:val="20"/>
          <w:szCs w:val="20"/>
        </w:rPr>
        <w:t xml:space="preserve">Prosedur ini menetapkan teknik, kontrol, dan tanggung jawab dalam menerapkan pseudonimisasi dan anonimisasi data pribadi di PT Equity Life Indonesia. Kedua teknik ini merupakan kontrol privasi utama yang mengurangi risiko kebocoran data dan memungkinkan penggunaan data untuk tujuan sekunder (analitik, pengembangan, pengujian) tanpa mengekspos identitas subjek data.</w:t>
      </w:r>
    </w:p>
    <w:p>
      <w:pPr>
        <w:spacing w:before="60" w:after="60"/>
      </w:pPr>
      <w:r>
        <w:rPr>
          <w:rFonts w:ascii="Arial" w:cs="Arial" w:eastAsia="Arial" w:hAnsi="Arial"/>
          <w:color w:val="404040"/>
          <w:sz w:val="20"/>
          <w:szCs w:val="20"/>
        </w:rPr>
        <w:t xml:space="preserve">Dasar hukum: ISO 27701:2019 Annex B.8.2.2; prinsip minimisasi data UU PDP; standar teknis pseudonimisasi NIST SP 800-188.</w:t>
      </w:r>
    </w:p>
    <w:p>
      <w:pPr>
        <w:pStyle w:val="Heading1"/>
        <w:pBdr>
          <w:bottom w:val="single" w:color="1A3C6B" w:sz="8" w:space="4"/>
        </w:pBdr>
        <w:spacing w:before="280" w:after="140"/>
      </w:pPr>
      <w:r>
        <w:rPr>
          <w:rFonts w:ascii="Arial" w:cs="Arial" w:eastAsia="Arial" w:hAnsi="Arial"/>
          <w:b/>
          <w:bCs/>
          <w:color w:val="1A3C6B"/>
          <w:sz w:val="32"/>
          <w:szCs w:val="32"/>
        </w:rPr>
        <w:t xml:space="preserve">2. Definisi dan Perbedaan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4138"/>
      </w:tblGrid>
      <w:tr>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Aspek</w:t>
            </w:r>
          </w:p>
        </w:tc>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Pseudonimisasi</w:t>
            </w:r>
          </w:p>
        </w:tc>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Anonimisasi</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Definisi</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Penggantian identifier langsung dengan nilai pseudonim yang tidak dapat diidentifikasi tanpa kunci tambahan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Penghapusan atau transformasi data sehingga identifikasi individu tidak mungkin dilakukan bahkan dengan informasi tambahan</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Reversibilitas</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REVERSIBEL — dapat dipulihkan ke data asli dengan kunci pseudonimisasi</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TIDAK REVERSIBEL — tidak dapat dipulihkan ke data asli</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Status UU PDP</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Masih merupakan data pribadi (tetapi dengan risiko lebih rendah)</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Bukan lagi data pribadi — tidak tunduk pada UU PDP</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Kunci/Token</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Harus dijaga dengan sangat ketat; dipisahkan dari data</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Tidak ada kunci — proses satu arah</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Penggunaan Utama</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Lingkungan dev/test, analitik internal, transfer ke prosesor terbatas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Riset, statistik publik, analitik eksternal, pelatihan ML tanpa keperluan re-identifikasi</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Risiko Residual</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Risiko re-identifikasi jika kunci bocor</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Risiko inferensial (linkage attack) jika dataset tidak dirancang dengan baik</w:t>
            </w:r>
          </w:p>
        </w:tc>
      </w:tr>
    </w:tbl>
    <w:p>
      <w:pPr>
        <w:pStyle w:val="Heading1"/>
        <w:pBdr>
          <w:bottom w:val="single" w:color="1A3C6B" w:sz="8" w:space="4"/>
        </w:pBdr>
        <w:spacing w:before="280" w:after="140"/>
      </w:pPr>
      <w:r>
        <w:rPr>
          <w:rFonts w:ascii="Arial" w:cs="Arial" w:eastAsia="Arial" w:hAnsi="Arial"/>
          <w:b/>
          <w:bCs/>
          <w:color w:val="1A3C6B"/>
          <w:sz w:val="32"/>
          <w:szCs w:val="32"/>
        </w:rPr>
        <w:t xml:space="preserve">3. Kapan Menggunakan Setiap Teknik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638"/>
      </w:tblGrid>
      <w:tr>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Skenario Penggunaan</w:t>
            </w:r>
          </w:p>
        </w:tc>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Teknik yang Direkomendasikan</w:t>
            </w:r>
          </w:p>
        </w:tc>
        <w:tc>
          <w:tcPr>
            <w:tcBorders>
              <w:top w:val="single" w:color="1A3C6B" w:sz="4"/>
              <w:left w:val="single" w:color="1A3C6B" w:sz="4"/>
              <w:bottom w:val="single" w:color="1A3C6B" w:sz="4"/>
              <w:right w:val="single" w:color="1A3C6B" w:sz="4"/>
            </w:tcBorders>
            <w:shd w:fill="1A3C6B"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Alasan</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Lingkungan development dan testing aplikasi</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Pseudonimisasi (minimal); Anonimisasi (ideal)</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Developer tidak memerlukan identitas asli nasabah untuk testing</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Analitik internal dan BI untuk keputusan bisnis</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Pseudonimisasi atau Anonimisasi</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Keputusan bisnis dapat dibuat tanpa mengekspos identitas individu</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Pelatihan model AI/ML fraud detection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Pseudonimisasi + Label encoding</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Model memerlukan pola, bukan identitas asli</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Berbagi data dengan reasuradur untuk statistik</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Anonimisasi (agregasi)</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Reasuradur hanya perlu data statistik populasi, bukan identitas nasabah</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Riset aktuaria internal</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Anonimisasi atau Pseudonimisasi</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Aktuaria memerlukan pola mortality/morbidity, bukan identitas</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Transfer data ke vendor analitik pihak ketiga</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Anonimisasi wajib</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Pihak ketiga tidak boleh dapat mengidentifikasi nasabah ELI</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Log aplikasi untuk debugging</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Pseudonimisasi (replace NIK/nama dengan token)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Log debugging diperlukan untuk troubleshooting teknis</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Laporan regulasi ke OJK</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Data agregat (anonimisasi tingkat populasi)</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OJK memerlukan statistik, bukan data per-nasabah</w:t>
            </w:r>
          </w:p>
        </w:tc>
      </w:tr>
    </w:tbl>
    <w:p>
      <w:pPr>
        <w:pStyle w:val="Heading1"/>
        <w:pBdr>
          <w:bottom w:val="single" w:color="1A3C6B" w:sz="8" w:space="4"/>
        </w:pBdr>
        <w:spacing w:before="280" w:after="140"/>
      </w:pPr>
      <w:r>
        <w:rPr>
          <w:rFonts w:ascii="Arial" w:cs="Arial" w:eastAsia="Arial" w:hAnsi="Arial"/>
          <w:b/>
          <w:bCs/>
          <w:color w:val="1A3C6B"/>
          <w:sz w:val="32"/>
          <w:szCs w:val="32"/>
        </w:rPr>
        <w:t xml:space="preserve">4. Teknik Pseudonimisasi yang Disetujui</w:t>
      </w:r>
    </w:p>
    <w:p>
      <w:pPr>
        <w:pStyle w:val="Heading2"/>
        <w:spacing w:before="220" w:after="100"/>
      </w:pPr>
      <w:r>
        <w:rPr>
          <w:rFonts w:ascii="Arial" w:cs="Arial" w:eastAsia="Arial" w:hAnsi="Arial"/>
          <w:b/>
          <w:bCs/>
          <w:color w:val="2563A8"/>
          <w:sz w:val="26"/>
          <w:szCs w:val="26"/>
        </w:rPr>
        <w:t xml:space="preserve">4.1 Tokenisasi</w:t>
      </w:r>
    </w:p>
    <w:p>
      <w:pPr>
        <w:spacing w:before="60" w:after="60"/>
      </w:pPr>
      <w:r>
        <w:rPr>
          <w:rFonts w:ascii="Arial" w:cs="Arial" w:eastAsia="Arial" w:hAnsi="Arial"/>
          <w:color w:val="404040"/>
          <w:sz w:val="20"/>
          <w:szCs w:val="20"/>
        </w:rPr>
        <w:t xml:space="preserve">Mengganti identifier asli (NIK, nomor polis, nama) dengan token acak yang tidak memiliki makna matematis. Token dipetakan ke identifier asli dalam sebuah token vault yang dijaga secara terpisah.</w:t>
      </w:r>
    </w:p>
    <w:p>
      <w:pPr>
        <w:pStyle w:val="ListParagraph"/>
        <w:numPr>
          <w:ilvl w:val="0"/>
          <w:numId w:val="2"/>
        </w:numPr>
        <w:spacing w:before="40" w:after="40"/>
      </w:pPr>
      <w:r>
        <w:rPr>
          <w:rFonts w:ascii="Arial" w:cs="Arial" w:eastAsia="Arial" w:hAnsi="Arial"/>
          <w:color w:val="404040"/>
          <w:sz w:val="20"/>
          <w:szCs w:val="20"/>
        </w:rPr>
        <w:t xml:space="preserve">Digunakan untuk: pseudonimisasi nomor polis dalam log sistem, NIK dalam lingkungan dev/test</w:t>
      </w:r>
    </w:p>
    <w:p>
      <w:pPr>
        <w:pStyle w:val="ListParagraph"/>
        <w:numPr>
          <w:ilvl w:val="0"/>
          <w:numId w:val="2"/>
        </w:numPr>
        <w:spacing w:before="40" w:after="40"/>
      </w:pPr>
      <w:r>
        <w:rPr>
          <w:rFonts w:ascii="Arial" w:cs="Arial" w:eastAsia="Arial" w:hAnsi="Arial"/>
          <w:color w:val="404040"/>
          <w:sz w:val="20"/>
          <w:szCs w:val="20"/>
        </w:rPr>
        <w:t xml:space="preserve">Persyaratan token vault: terenkripsi AES-256, akses sangat terbatas, audit trail akses</w:t>
      </w:r>
    </w:p>
    <w:p>
      <w:pPr>
        <w:pStyle w:val="ListParagraph"/>
        <w:numPr>
          <w:ilvl w:val="0"/>
          <w:numId w:val="2"/>
        </w:numPr>
        <w:spacing w:before="40" w:after="40"/>
      </w:pPr>
      <w:r>
        <w:rPr>
          <w:rFonts w:ascii="Arial" w:cs="Arial" w:eastAsia="Arial" w:hAnsi="Arial"/>
          <w:color w:val="404040"/>
          <w:sz w:val="20"/>
          <w:szCs w:val="20"/>
        </w:rPr>
        <w:t xml:space="preserve">Token harus memenuhi panjang minimal 32 karakter dan menggunakan CSPRNG</w:t>
      </w:r>
    </w:p>
    <w:p>
      <w:pPr>
        <w:pStyle w:val="Heading2"/>
        <w:spacing w:before="220" w:after="100"/>
      </w:pPr>
      <w:r>
        <w:rPr>
          <w:rFonts w:ascii="Arial" w:cs="Arial" w:eastAsia="Arial" w:hAnsi="Arial"/>
          <w:b/>
          <w:bCs/>
          <w:color w:val="2563A8"/>
          <w:sz w:val="26"/>
          <w:szCs w:val="26"/>
        </w:rPr>
        <w:t xml:space="preserve">4.2 Enkripsi Deterministik</w:t>
      </w:r>
    </w:p>
    <w:p>
      <w:pPr>
        <w:spacing w:before="60" w:after="60"/>
      </w:pPr>
      <w:r>
        <w:rPr>
          <w:rFonts w:ascii="Arial" w:cs="Arial" w:eastAsia="Arial" w:hAnsi="Arial"/>
          <w:color w:val="404040"/>
          <w:sz w:val="20"/>
          <w:szCs w:val="20"/>
        </w:rPr>
        <w:t xml:space="preserve">Menggunakan fungsi enkripsi yang selalu menghasilkan output yang sama untuk input yang sama, memungkinkan join antar tabel tanpa mengekspos nilai asli.</w:t>
      </w:r>
    </w:p>
    <w:p>
      <w:pPr>
        <w:pStyle w:val="ListParagraph"/>
        <w:numPr>
          <w:ilvl w:val="0"/>
          <w:numId w:val="2"/>
        </w:numPr>
        <w:spacing w:before="40" w:after="40"/>
      </w:pPr>
      <w:r>
        <w:rPr>
          <w:rFonts w:ascii="Arial" w:cs="Arial" w:eastAsia="Arial" w:hAnsi="Arial"/>
          <w:color w:val="404040"/>
          <w:sz w:val="20"/>
          <w:szCs w:val="20"/>
        </w:rPr>
        <w:t xml:space="preserve">Digunakan untuk: field yang perlu di-join antar tabel dalam analitik (misalnya: customer_id terenkripsi)</w:t>
      </w:r>
    </w:p>
    <w:p>
      <w:pPr>
        <w:pStyle w:val="ListParagraph"/>
        <w:numPr>
          <w:ilvl w:val="0"/>
          <w:numId w:val="2"/>
        </w:numPr>
        <w:spacing w:before="40" w:after="40"/>
      </w:pPr>
      <w:r>
        <w:rPr>
          <w:rFonts w:ascii="Arial" w:cs="Arial" w:eastAsia="Arial" w:hAnsi="Arial"/>
          <w:color w:val="404040"/>
          <w:sz w:val="20"/>
          <w:szCs w:val="20"/>
        </w:rPr>
        <w:t xml:space="preserve">Algoritma: AES-256-SIV atau HMAC-SHA256 dengan kunci yang di-rotate secara berkala</w:t>
      </w:r>
    </w:p>
    <w:p>
      <w:pPr>
        <w:pStyle w:val="Heading2"/>
        <w:spacing w:before="220" w:after="100"/>
      </w:pPr>
      <w:r>
        <w:rPr>
          <w:rFonts w:ascii="Arial" w:cs="Arial" w:eastAsia="Arial" w:hAnsi="Arial"/>
          <w:b/>
          <w:bCs/>
          <w:color w:val="2563A8"/>
          <w:sz w:val="26"/>
          <w:szCs w:val="26"/>
        </w:rPr>
        <w:t xml:space="preserve">4.3 Substitusi / Data Masking</w:t>
      </w:r>
    </w:p>
    <w:p>
      <w:pPr>
        <w:spacing w:before="60" w:after="60"/>
      </w:pPr>
      <w:r>
        <w:rPr>
          <w:rFonts w:ascii="Arial" w:cs="Arial" w:eastAsia="Arial" w:hAnsi="Arial"/>
          <w:color w:val="404040"/>
          <w:sz w:val="20"/>
          <w:szCs w:val="20"/>
        </w:rPr>
        <w:t xml:space="preserve">Mengganti nilai asli dengan nilai palsu yang realistis namun tidak dapat dikaitkan dengan individu asli.</w:t>
      </w:r>
    </w:p>
    <w:p>
      <w:pPr>
        <w:pStyle w:val="ListParagraph"/>
        <w:numPr>
          <w:ilvl w:val="0"/>
          <w:numId w:val="2"/>
        </w:numPr>
        <w:spacing w:before="40" w:after="40"/>
      </w:pPr>
      <w:r>
        <w:rPr>
          <w:rFonts w:ascii="Arial" w:cs="Arial" w:eastAsia="Arial" w:hAnsi="Arial"/>
          <w:color w:val="404040"/>
          <w:sz w:val="20"/>
          <w:szCs w:val="20"/>
        </w:rPr>
        <w:t xml:space="preserve">Digunakan untuk: lingkungan testing — nama diganti nama fiktif, NIK diganti NIK acak yang valid secara format</w:t>
      </w:r>
    </w:p>
    <w:p>
      <w:pPr>
        <w:pStyle w:val="ListParagraph"/>
        <w:numPr>
          <w:ilvl w:val="0"/>
          <w:numId w:val="2"/>
        </w:numPr>
        <w:spacing w:before="40" w:after="40"/>
      </w:pPr>
      <w:r>
        <w:rPr>
          <w:rFonts w:ascii="Arial" w:cs="Arial" w:eastAsia="Arial" w:hAnsi="Arial"/>
          <w:color w:val="404040"/>
          <w:sz w:val="20"/>
          <w:szCs w:val="20"/>
        </w:rPr>
        <w:t xml:space="preserve">Alat yang disetujui: Faker library, custom masking scripts yang dikelola oleh IT Security</w:t>
      </w:r>
    </w:p>
    <w:p>
      <w:pPr>
        <w:pStyle w:val="Heading1"/>
        <w:pBdr>
          <w:bottom w:val="single" w:color="1A3C6B" w:sz="8" w:space="4"/>
        </w:pBdr>
        <w:spacing w:before="280" w:after="140"/>
      </w:pPr>
      <w:r>
        <w:rPr>
          <w:rFonts w:ascii="Arial" w:cs="Arial" w:eastAsia="Arial" w:hAnsi="Arial"/>
          <w:b/>
          <w:bCs/>
          <w:color w:val="1A3C6B"/>
          <w:sz w:val="32"/>
          <w:szCs w:val="32"/>
        </w:rPr>
        <w:t xml:space="preserve">5. Teknik Anonimisasi yang Disetujui</w:t>
      </w:r>
    </w:p>
    <w:p>
      <w:pPr>
        <w:pStyle w:val="Heading2"/>
        <w:spacing w:before="220" w:after="100"/>
      </w:pPr>
      <w:r>
        <w:rPr>
          <w:rFonts w:ascii="Arial" w:cs="Arial" w:eastAsia="Arial" w:hAnsi="Arial"/>
          <w:b/>
          <w:bCs/>
          <w:color w:val="2563A8"/>
          <w:sz w:val="26"/>
          <w:szCs w:val="26"/>
        </w:rPr>
        <w:t xml:space="preserve">5.1 Generalisasi</w:t>
      </w:r>
    </w:p>
    <w:p>
      <w:pPr>
        <w:spacing w:before="60" w:after="60"/>
      </w:pPr>
      <w:r>
        <w:rPr>
          <w:rFonts w:ascii="Arial" w:cs="Arial" w:eastAsia="Arial" w:hAnsi="Arial"/>
          <w:color w:val="404040"/>
          <w:sz w:val="20"/>
          <w:szCs w:val="20"/>
        </w:rPr>
        <w:t xml:space="preserve">Mengganti nilai spesifik dengan nilai yang lebih umum — misalnya: tanggal lahir spesifik menjadi rentang usia.</w:t>
      </w:r>
    </w:p>
    <w:p>
      <w:pPr>
        <w:pStyle w:val="ListParagraph"/>
        <w:numPr>
          <w:ilvl w:val="0"/>
          <w:numId w:val="2"/>
        </w:numPr>
        <w:spacing w:before="40" w:after="40"/>
      </w:pPr>
      <w:r>
        <w:rPr>
          <w:rFonts w:ascii="Arial" w:cs="Arial" w:eastAsia="Arial" w:hAnsi="Arial"/>
          <w:color w:val="404040"/>
          <w:sz w:val="20"/>
          <w:szCs w:val="20"/>
        </w:rPr>
        <w:t xml:space="preserve">Usia '34 tahun' → '30–39 tahun'</w:t>
      </w:r>
    </w:p>
    <w:p>
      <w:pPr>
        <w:pStyle w:val="ListParagraph"/>
        <w:numPr>
          <w:ilvl w:val="0"/>
          <w:numId w:val="2"/>
        </w:numPr>
        <w:spacing w:before="40" w:after="40"/>
      </w:pPr>
      <w:r>
        <w:rPr>
          <w:rFonts w:ascii="Arial" w:cs="Arial" w:eastAsia="Arial" w:hAnsi="Arial"/>
          <w:color w:val="404040"/>
          <w:sz w:val="20"/>
          <w:szCs w:val="20"/>
        </w:rPr>
        <w:t xml:space="preserve">Kode pos spesifik → nama provinsi atau kota</w:t>
      </w:r>
    </w:p>
    <w:p>
      <w:pPr>
        <w:pStyle w:val="ListParagraph"/>
        <w:numPr>
          <w:ilvl w:val="0"/>
          <w:numId w:val="2"/>
        </w:numPr>
        <w:spacing w:before="40" w:after="40"/>
      </w:pPr>
      <w:r>
        <w:rPr>
          <w:rFonts w:ascii="Arial" w:cs="Arial" w:eastAsia="Arial" w:hAnsi="Arial"/>
          <w:color w:val="404040"/>
          <w:sz w:val="20"/>
          <w:szCs w:val="20"/>
        </w:rPr>
        <w:t xml:space="preserve">Nilai klaim spesifik → bracket nilai (misalnya: '50–100 juta')</w:t>
      </w:r>
    </w:p>
    <w:p>
      <w:pPr>
        <w:pStyle w:val="Heading2"/>
        <w:spacing w:before="220" w:after="100"/>
      </w:pPr>
      <w:r>
        <w:rPr>
          <w:rFonts w:ascii="Arial" w:cs="Arial" w:eastAsia="Arial" w:hAnsi="Arial"/>
          <w:b/>
          <w:bCs/>
          <w:color w:val="2563A8"/>
          <w:sz w:val="26"/>
          <w:szCs w:val="26"/>
        </w:rPr>
        <w:t xml:space="preserve">5.2 Suppression</w:t>
      </w:r>
    </w:p>
    <w:p>
      <w:pPr>
        <w:spacing w:before="60" w:after="60"/>
      </w:pPr>
      <w:r>
        <w:rPr>
          <w:rFonts w:ascii="Arial" w:cs="Arial" w:eastAsia="Arial" w:hAnsi="Arial"/>
          <w:color w:val="404040"/>
          <w:sz w:val="20"/>
          <w:szCs w:val="20"/>
        </w:rPr>
        <w:t xml:space="preserve">Menghapus field yang terlalu mengidentifikasi individu jika generalisasi tidak cukup.</w:t>
      </w:r>
    </w:p>
    <w:p>
      <w:pPr>
        <w:pStyle w:val="ListParagraph"/>
        <w:numPr>
          <w:ilvl w:val="0"/>
          <w:numId w:val="2"/>
        </w:numPr>
        <w:spacing w:before="40" w:after="40"/>
      </w:pPr>
      <w:r>
        <w:rPr>
          <w:rFonts w:ascii="Arial" w:cs="Arial" w:eastAsia="Arial" w:hAnsi="Arial"/>
          <w:color w:val="404040"/>
          <w:sz w:val="20"/>
          <w:szCs w:val="20"/>
        </w:rPr>
        <w:t xml:space="preserve">Menghapus NIK, nama lengkap, nomor polis sebelum dataset digunakan untuk riset</w:t>
      </w:r>
    </w:p>
    <w:p>
      <w:pPr>
        <w:pStyle w:val="ListParagraph"/>
        <w:numPr>
          <w:ilvl w:val="0"/>
          <w:numId w:val="2"/>
        </w:numPr>
        <w:spacing w:before="40" w:after="40"/>
      </w:pPr>
      <w:r>
        <w:rPr>
          <w:rFonts w:ascii="Arial" w:cs="Arial" w:eastAsia="Arial" w:hAnsi="Arial"/>
          <w:color w:val="404040"/>
          <w:sz w:val="20"/>
          <w:szCs w:val="20"/>
        </w:rPr>
        <w:t xml:space="preserve">Menghapus kombinasi field yang unik (misalnya: kombinasi usia + kode pos + kondisi medis yang langka)</w:t>
      </w:r>
    </w:p>
    <w:p>
      <w:pPr>
        <w:pStyle w:val="Heading2"/>
        <w:spacing w:before="220" w:after="100"/>
      </w:pPr>
      <w:r>
        <w:rPr>
          <w:rFonts w:ascii="Arial" w:cs="Arial" w:eastAsia="Arial" w:hAnsi="Arial"/>
          <w:b/>
          <w:bCs/>
          <w:color w:val="2563A8"/>
          <w:sz w:val="26"/>
          <w:szCs w:val="26"/>
        </w:rPr>
        <w:t xml:space="preserve">5.3 Agregasi</w:t>
      </w:r>
    </w:p>
    <w:p>
      <w:pPr>
        <w:spacing w:before="60" w:after="60"/>
      </w:pPr>
      <w:r>
        <w:rPr>
          <w:rFonts w:ascii="Arial" w:cs="Arial" w:eastAsia="Arial" w:hAnsi="Arial"/>
          <w:color w:val="404040"/>
          <w:sz w:val="20"/>
          <w:szCs w:val="20"/>
        </w:rPr>
        <w:t xml:space="preserve">Menyajikan data dalam bentuk agregat (jumlah, rata-rata, persentase) sehingga tidak ada data per individu.</w:t>
      </w:r>
    </w:p>
    <w:p>
      <w:pPr>
        <w:pStyle w:val="ListParagraph"/>
        <w:numPr>
          <w:ilvl w:val="0"/>
          <w:numId w:val="2"/>
        </w:numPr>
        <w:spacing w:before="40" w:after="40"/>
      </w:pPr>
      <w:r>
        <w:rPr>
          <w:rFonts w:ascii="Arial" w:cs="Arial" w:eastAsia="Arial" w:hAnsi="Arial"/>
          <w:color w:val="404040"/>
          <w:sz w:val="20"/>
          <w:szCs w:val="20"/>
        </w:rPr>
        <w:t xml:space="preserve">Laporan statistik mortalitas: total kematian per kategori usia, bukan daftar individu yang meninggal</w:t>
      </w:r>
    </w:p>
    <w:p>
      <w:pPr>
        <w:pStyle w:val="ListParagraph"/>
        <w:numPr>
          <w:ilvl w:val="0"/>
          <w:numId w:val="2"/>
        </w:numPr>
        <w:spacing w:before="40" w:after="40"/>
      </w:pPr>
      <w:r>
        <w:rPr>
          <w:rFonts w:ascii="Arial" w:cs="Arial" w:eastAsia="Arial" w:hAnsi="Arial"/>
          <w:color w:val="404040"/>
          <w:sz w:val="20"/>
          <w:szCs w:val="20"/>
        </w:rPr>
        <w:t xml:space="preserve">Analitik klaim: rata-rata nilai klaim per jenis penyakit, bukan data klaim per nasabah</w:t>
      </w:r>
    </w:p>
    <w:p>
      <w:pPr>
        <w:pStyle w:val="Heading2"/>
        <w:spacing w:before="220" w:after="100"/>
      </w:pPr>
      <w:r>
        <w:rPr>
          <w:rFonts w:ascii="Arial" w:cs="Arial" w:eastAsia="Arial" w:hAnsi="Arial"/>
          <w:b/>
          <w:bCs/>
          <w:color w:val="2563A8"/>
          <w:sz w:val="26"/>
          <w:szCs w:val="26"/>
        </w:rPr>
        <w:t xml:space="preserve">5.4 Differential Privacy (untuk Data Science)</w:t>
      </w:r>
    </w:p>
    <w:p>
      <w:pPr>
        <w:spacing w:before="60" w:after="60"/>
      </w:pPr>
      <w:r>
        <w:rPr>
          <w:rFonts w:ascii="Arial" w:cs="Arial" w:eastAsia="Arial" w:hAnsi="Arial"/>
          <w:color w:val="404040"/>
          <w:sz w:val="20"/>
          <w:szCs w:val="20"/>
        </w:rPr>
        <w:t xml:space="preserve">Menambahkan noise matematis ke dalam dataset sehingga tidak mungkin menginferensi data individu dari output model. Digunakan untuk pelatihan model ML ketika dataset tidak dapat dianonimkan secara penuh.</w:t>
      </w:r>
    </w:p>
    <w:p>
      <w:pPr>
        <w:pStyle w:val="Heading1"/>
        <w:pBdr>
          <w:bottom w:val="single" w:color="1A3C6B" w:sz="8" w:space="4"/>
        </w:pBdr>
        <w:spacing w:before="280" w:after="140"/>
      </w:pPr>
      <w:r>
        <w:rPr>
          <w:rFonts w:ascii="Arial" w:cs="Arial" w:eastAsia="Arial" w:hAnsi="Arial"/>
          <w:b/>
          <w:bCs/>
          <w:color w:val="1A3C6B"/>
          <w:sz w:val="32"/>
          <w:szCs w:val="32"/>
        </w:rPr>
        <w:t xml:space="preserve">6. Kontrol Kritis — Pemisahan Kunci Pseudonimisasi</w:t>
      </w:r>
    </w:p>
    <w:p>
      <w:pPr>
        <w:pBdr>
          <w:left w:val="single" w:color="C00000" w:sz="16" w:space="8"/>
        </w:pBdr>
        <w:shd w:fill="FFCCCC" w:val="clear"/>
        <w:spacing w:before="80" w:after="80"/>
        <w:ind w:left="360"/>
      </w:pPr>
      <w:r>
        <w:rPr>
          <w:rFonts w:ascii="Arial" w:cs="Arial" w:eastAsia="Arial" w:hAnsi="Arial"/>
          <w:i/>
          <w:iCs/>
          <w:color w:val="404040"/>
          <w:sz w:val="20"/>
          <w:szCs w:val="20"/>
        </w:rPr>
        <w:t xml:space="preserve">PENTING: Nilai pseudonimisasi hanya berguna jika kunci/token vault dijaga dengan ketat. Kunci yang bocor sama dengan membalik seluruh proses pseudonimisasi.</w:t>
      </w:r>
    </w:p>
    <w:p>
      <w:pPr>
        <w:pStyle w:val="ListParagraph"/>
        <w:numPr>
          <w:ilvl w:val="0"/>
          <w:numId w:val="2"/>
        </w:numPr>
        <w:spacing w:before="40" w:after="40"/>
      </w:pPr>
      <w:r>
        <w:rPr>
          <w:rFonts w:ascii="Arial" w:cs="Arial" w:eastAsia="Arial" w:hAnsi="Arial"/>
          <w:color w:val="404040"/>
          <w:sz w:val="20"/>
          <w:szCs w:val="20"/>
        </w:rPr>
        <w:t xml:space="preserve">Kunci pseudonimisasi harus disimpan dalam Key Management System (KMS) yang terpisah dari database data</w:t>
      </w:r>
    </w:p>
    <w:p>
      <w:pPr>
        <w:pStyle w:val="ListParagraph"/>
        <w:numPr>
          <w:ilvl w:val="0"/>
          <w:numId w:val="2"/>
        </w:numPr>
        <w:spacing w:before="40" w:after="40"/>
      </w:pPr>
      <w:r>
        <w:rPr>
          <w:rFonts w:ascii="Arial" w:cs="Arial" w:eastAsia="Arial" w:hAnsi="Arial"/>
          <w:color w:val="404040"/>
          <w:sz w:val="20"/>
          <w:szCs w:val="20"/>
        </w:rPr>
        <w:t xml:space="preserve">Akses ke KMS dibatasi kepada DPO, IT Security Lead, dan Direktur T&amp;I — dengan MFA wajib</w:t>
      </w:r>
    </w:p>
    <w:p>
      <w:pPr>
        <w:pStyle w:val="ListParagraph"/>
        <w:numPr>
          <w:ilvl w:val="0"/>
          <w:numId w:val="2"/>
        </w:numPr>
        <w:spacing w:before="40" w:after="40"/>
      </w:pPr>
      <w:r>
        <w:rPr>
          <w:rFonts w:ascii="Arial" w:cs="Arial" w:eastAsia="Arial" w:hAnsi="Arial"/>
          <w:color w:val="404040"/>
          <w:sz w:val="20"/>
          <w:szCs w:val="20"/>
        </w:rPr>
        <w:t xml:space="preserve">Kunci di-rotate minimal setiap 12 bulan atau segera setelah ada indikasi kompromi</w:t>
      </w:r>
    </w:p>
    <w:p>
      <w:pPr>
        <w:pStyle w:val="ListParagraph"/>
        <w:numPr>
          <w:ilvl w:val="0"/>
          <w:numId w:val="2"/>
        </w:numPr>
        <w:spacing w:before="40" w:after="40"/>
      </w:pPr>
      <w:r>
        <w:rPr>
          <w:rFonts w:ascii="Arial" w:cs="Arial" w:eastAsia="Arial" w:hAnsi="Arial"/>
          <w:color w:val="404040"/>
          <w:sz w:val="20"/>
          <w:szCs w:val="20"/>
        </w:rPr>
        <w:t xml:space="preserve">Log akses ke KMS harus dipantau dan diaudit secara berkala</w:t>
      </w:r>
    </w:p>
    <w:p>
      <w:pPr>
        <w:pStyle w:val="ListParagraph"/>
        <w:numPr>
          <w:ilvl w:val="0"/>
          <w:numId w:val="2"/>
        </w:numPr>
        <w:spacing w:before="40" w:after="40"/>
      </w:pPr>
      <w:r>
        <w:rPr>
          <w:rFonts w:ascii="Arial" w:cs="Arial" w:eastAsia="Arial" w:hAnsi="Arial"/>
          <w:color w:val="404040"/>
          <w:sz w:val="20"/>
          <w:szCs w:val="20"/>
        </w:rPr>
        <w:t xml:space="preserve">Prosedur re-identifikasi (menggunakan kunci untuk memulihkan data asli) harus mendapat persetujuan DPO tertulis</w:t>
      </w:r>
    </w:p>
    <w:p>
      <w:pPr>
        <w:pStyle w:val="Heading1"/>
        <w:pBdr>
          <w:bottom w:val="single" w:color="1A3C6B" w:sz="8" w:space="4"/>
        </w:pBdr>
        <w:spacing w:before="280" w:after="140"/>
      </w:pPr>
      <w:r>
        <w:rPr>
          <w:rFonts w:ascii="Arial" w:cs="Arial" w:eastAsia="Arial" w:hAnsi="Arial"/>
          <w:b/>
          <w:bCs/>
          <w:color w:val="1A3C6B"/>
          <w:sz w:val="32"/>
          <w:szCs w:val="32"/>
        </w:rPr>
        <w:t xml:space="preserve">7. Persyaratan Khusus Lingkungan Dev/Test</w:t>
      </w:r>
    </w:p>
    <w:p>
      <w:pPr>
        <w:spacing w:before="60" w:after="60"/>
      </w:pPr>
      <w:r>
        <w:rPr>
          <w:rFonts w:ascii="Arial" w:cs="Arial" w:eastAsia="Arial" w:hAnsi="Arial"/>
          <w:color w:val="404040"/>
          <w:sz w:val="20"/>
          <w:szCs w:val="20"/>
        </w:rPr>
        <w:t xml:space="preserve">Lingkungan development dan testing PT Equity Life Indonesia WAJIB menggunakan data yang sudah dipseudonimasikan atau dianonimkan. Dilarang menggunakan data produksi asli di lingkungan non-produksi kecuali dengan persetujuan DPO tertulis untuk kasus darurat yang terdokumentasi.</w:t>
      </w:r>
    </w:p>
    <w:p>
      <w:pPr>
        <w:pStyle w:val="ListParagraph"/>
        <w:numPr>
          <w:ilvl w:val="0"/>
          <w:numId w:val="3"/>
        </w:numPr>
        <w:spacing w:before="60" w:after="60"/>
      </w:pPr>
      <w:r>
        <w:rPr>
          <w:rFonts w:ascii="Arial" w:cs="Arial" w:eastAsia="Arial" w:hAnsi="Arial"/>
          <w:color w:val="404040"/>
          <w:sz w:val="20"/>
          <w:szCs w:val="20"/>
        </w:rPr>
        <w:t xml:space="preserve">Tim DevSecOps bertanggung jawab menyediakan dataset yang sudah dianonimkan untuk lingkungan dev/test</w:t>
      </w:r>
    </w:p>
    <w:p>
      <w:pPr>
        <w:pStyle w:val="ListParagraph"/>
        <w:numPr>
          <w:ilvl w:val="0"/>
          <w:numId w:val="3"/>
        </w:numPr>
        <w:spacing w:before="60" w:after="60"/>
      </w:pPr>
      <w:r>
        <w:rPr>
          <w:rFonts w:ascii="Arial" w:cs="Arial" w:eastAsia="Arial" w:hAnsi="Arial"/>
          <w:color w:val="404040"/>
          <w:sz w:val="20"/>
          <w:szCs w:val="20"/>
        </w:rPr>
        <w:t xml:space="preserve">Dataset dev/test harus di-refresh setiap 3 bulan untuk mencegah data yang sudah lama tersimpan</w:t>
      </w:r>
    </w:p>
    <w:p>
      <w:pPr>
        <w:pStyle w:val="ListParagraph"/>
        <w:numPr>
          <w:ilvl w:val="0"/>
          <w:numId w:val="3"/>
        </w:numPr>
        <w:spacing w:before="60" w:after="60"/>
      </w:pPr>
      <w:r>
        <w:rPr>
          <w:rFonts w:ascii="Arial" w:cs="Arial" w:eastAsia="Arial" w:hAnsi="Arial"/>
          <w:color w:val="404040"/>
          <w:sz w:val="20"/>
          <w:szCs w:val="20"/>
        </w:rPr>
        <w:t xml:space="preserve">Akses ke lingkungan dev/test harus dibatasi kepada developer yang benar-benar memerlukan</w:t>
      </w:r>
    </w:p>
    <w:p>
      <w:pPr>
        <w:pStyle w:val="ListParagraph"/>
        <w:numPr>
          <w:ilvl w:val="0"/>
          <w:numId w:val="3"/>
        </w:numPr>
        <w:spacing w:before="60" w:after="60"/>
      </w:pPr>
      <w:r>
        <w:rPr>
          <w:rFonts w:ascii="Arial" w:cs="Arial" w:eastAsia="Arial" w:hAnsi="Arial"/>
          <w:color w:val="404040"/>
          <w:sz w:val="20"/>
          <w:szCs w:val="20"/>
        </w:rPr>
        <w:t xml:space="preserve">Tidak ada data kesehatan asli yang boleh berada di lingkungan dev/test dalam kondisi apapun</w:t>
      </w:r>
    </w:p>
    <w:p>
      <w:pPr>
        <w:pStyle w:val="Heading1"/>
        <w:pBdr>
          <w:bottom w:val="single" w:color="1A3C6B" w:sz="8" w:space="4"/>
        </w:pBdr>
        <w:spacing w:before="280" w:after="140"/>
      </w:pPr>
      <w:r>
        <w:rPr>
          <w:rFonts w:ascii="Arial" w:cs="Arial" w:eastAsia="Arial" w:hAnsi="Arial"/>
          <w:b/>
          <w:bCs/>
          <w:color w:val="1A3C6B"/>
          <w:sz w:val="32"/>
          <w:szCs w:val="32"/>
        </w:rPr>
        <w:t xml:space="preserve">8. Persetujuan Dokumen</w:t>
      </w:r>
    </w:p>
    <w:p>
      <w:pPr>
        <w:spacing w:before="8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single" w:color="CCCCCC" w:sz="4"/>
              <w:left w:val="single" w:color="CCCCCC" w:sz="4"/>
              <w:bottom w:val="single" w:color="CCCCCC" w:sz="4"/>
              <w:right w:val="single" w:color="CCCCCC" w:sz="4"/>
            </w:tcBorders>
            <w:shd w:fill="DCE6F1" w:val="clear"/>
            <w:tcMar>
              <w:top w:type="dxa" w:w="80"/>
              <w:left w:type="dxa" w:w="140"/>
              <w:bottom w:type="dxa" w:w="80"/>
              <w:right w:type="dxa" w:w="140"/>
            </w:tcMar>
          </w:tcPr>
          <w:p>
            <w:pPr>
              <w:jc w:val="center"/>
            </w:pPr>
            <w:r>
              <w:rPr>
                <w:rFonts w:ascii="Arial" w:cs="Arial" w:eastAsia="Arial" w:hAnsi="Arial"/>
                <w:b/>
                <w:bCs/>
                <w:color w:val="1A3C6B"/>
                <w:sz w:val="20"/>
                <w:szCs w:val="20"/>
              </w:rPr>
              <w:t xml:space="preserve">Disusun oleh</w:t>
            </w:r>
          </w:p>
        </w:tc>
        <w:tc>
          <w:tcPr>
            <w:tcW w:type="dxa" w:w="3212"/>
            <w:tcBorders>
              <w:top w:val="single" w:color="CCCCCC" w:sz="4"/>
              <w:left w:val="single" w:color="CCCCCC" w:sz="4"/>
              <w:bottom w:val="single" w:color="CCCCCC" w:sz="4"/>
              <w:right w:val="single" w:color="CCCCCC" w:sz="4"/>
            </w:tcBorders>
            <w:shd w:fill="DCE6F1" w:val="clear"/>
            <w:tcMar>
              <w:top w:type="dxa" w:w="80"/>
              <w:left w:type="dxa" w:w="140"/>
              <w:bottom w:type="dxa" w:w="80"/>
              <w:right w:type="dxa" w:w="140"/>
            </w:tcMar>
          </w:tcPr>
          <w:p>
            <w:pPr>
              <w:jc w:val="center"/>
            </w:pPr>
            <w:r>
              <w:rPr>
                <w:rFonts w:ascii="Arial" w:cs="Arial" w:eastAsia="Arial" w:hAnsi="Arial"/>
                <w:b/>
                <w:bCs/>
                <w:color w:val="1A3C6B"/>
                <w:sz w:val="20"/>
                <w:szCs w:val="20"/>
              </w:rPr>
              <w:t xml:space="preserve">Diperiksa oleh</w:t>
            </w:r>
          </w:p>
        </w:tc>
        <w:tc>
          <w:tcPr>
            <w:tcW w:type="dxa" w:w="3212"/>
            <w:tcBorders>
              <w:top w:val="single" w:color="CCCCCC" w:sz="4"/>
              <w:left w:val="single" w:color="CCCCCC" w:sz="4"/>
              <w:bottom w:val="single" w:color="CCCCCC" w:sz="4"/>
              <w:right w:val="single" w:color="CCCCCC" w:sz="4"/>
            </w:tcBorders>
            <w:shd w:fill="DCE6F1" w:val="clear"/>
            <w:tcMar>
              <w:top w:type="dxa" w:w="80"/>
              <w:left w:type="dxa" w:w="140"/>
              <w:bottom w:type="dxa" w:w="80"/>
              <w:right w:type="dxa" w:w="140"/>
            </w:tcMar>
          </w:tcPr>
          <w:p>
            <w:pPr>
              <w:jc w:val="center"/>
            </w:pPr>
            <w:r>
              <w:rPr>
                <w:rFonts w:ascii="Arial" w:cs="Arial" w:eastAsia="Arial" w:hAnsi="Arial"/>
                <w:b/>
                <w:bCs/>
                <w:color w:val="1A3C6B"/>
                <w:sz w:val="20"/>
                <w:szCs w:val="20"/>
              </w:rPr>
              <w:t xml:space="preserve">Disetujui oleh</w:t>
            </w:r>
          </w:p>
        </w:tc>
      </w:tr>
      <w:tr>
        <w:tc>
          <w:tcPr>
            <w:tcW w:type="dxa" w:w="321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i/>
                <w:iCs/>
                <w:color w:val="666666"/>
                <w:sz w:val="18"/>
                <w:szCs w:val="18"/>
              </w:rPr>
              <w:t xml:space="preserve">Tanda Tangan</w:t>
            </w:r>
          </w:p>
          <w:p>
            <w:pPr>
              <w:spacing w:before="600"/>
              <w:jc w:val="center"/>
            </w:pPr>
            <w:r>
              <w:rPr>
                <w:rFonts w:ascii="Arial" w:cs="Arial" w:eastAsia="Arial" w:hAnsi="Arial"/>
                <w:color w:val="CCCCCC"/>
                <w:sz w:val="20"/>
                <w:szCs w:val="20"/>
              </w:rPr>
              <w:t xml:space="preserve">___________________</w:t>
            </w:r>
          </w:p>
        </w:tc>
        <w:tc>
          <w:tcPr>
            <w:tcW w:type="dxa" w:w="321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i/>
                <w:iCs/>
                <w:color w:val="666666"/>
                <w:sz w:val="18"/>
                <w:szCs w:val="18"/>
              </w:rPr>
              <w:t xml:space="preserve">Tanda Tangan</w:t>
            </w:r>
          </w:p>
          <w:p>
            <w:pPr>
              <w:spacing w:before="600"/>
              <w:jc w:val="center"/>
            </w:pPr>
            <w:r>
              <w:rPr>
                <w:rFonts w:ascii="Arial" w:cs="Arial" w:eastAsia="Arial" w:hAnsi="Arial"/>
                <w:color w:val="CCCCCC"/>
                <w:sz w:val="20"/>
                <w:szCs w:val="20"/>
              </w:rPr>
              <w:t xml:space="preserve">___________________</w:t>
            </w:r>
          </w:p>
        </w:tc>
        <w:tc>
          <w:tcPr>
            <w:tcW w:type="dxa" w:w="321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i/>
                <w:iCs/>
                <w:color w:val="666666"/>
                <w:sz w:val="18"/>
                <w:szCs w:val="18"/>
              </w:rPr>
              <w:t xml:space="preserve">Tanda Tangan</w:t>
            </w:r>
          </w:p>
          <w:p>
            <w:pPr>
              <w:spacing w:before="600"/>
              <w:jc w:val="center"/>
            </w:pPr>
            <w:r>
              <w:rPr>
                <w:rFonts w:ascii="Arial" w:cs="Arial" w:eastAsia="Arial" w:hAnsi="Arial"/>
                <w:color w:val="CCCCCC"/>
                <w:sz w:val="20"/>
                <w:szCs w:val="20"/>
              </w:rPr>
              <w:t xml:space="preserve">___________________</w:t>
            </w:r>
          </w:p>
        </w:tc>
      </w:tr>
      <w:tr>
        <w:tc>
          <w:tcPr>
            <w:tcW w:type="dxa" w:w="3212"/>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DPO / IT Security &amp; Governance</w:t>
            </w:r>
          </w:p>
          <w:p>
            <w:pPr>
              <w:jc w:val="center"/>
            </w:pPr>
            <w:r>
              <w:rPr>
                <w:rFonts w:ascii="Arial" w:cs="Arial" w:eastAsia="Arial" w:hAnsi="Arial"/>
                <w:color w:val="666666"/>
                <w:sz w:val="18"/>
                <w:szCs w:val="18"/>
              </w:rPr>
              <w:t xml:space="preserve">Technology &amp; Information Directorate</w:t>
            </w:r>
          </w:p>
        </w:tc>
        <w:tc>
          <w:tcPr>
            <w:tcW w:type="dxa" w:w="3212"/>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Head of Data Management</w:t>
            </w:r>
          </w:p>
          <w:p>
            <w:pPr>
              <w:jc w:val="center"/>
            </w:pPr>
            <w:r>
              <w:rPr>
                <w:rFonts w:ascii="Arial" w:cs="Arial" w:eastAsia="Arial" w:hAnsi="Arial"/>
                <w:color w:val="666666"/>
                <w:sz w:val="18"/>
                <w:szCs w:val="18"/>
              </w:rPr>
              <w:t xml:space="preserve">Digital Solution Development</w:t>
            </w:r>
          </w:p>
        </w:tc>
        <w:tc>
          <w:tcPr>
            <w:tcW w:type="dxa" w:w="3212"/>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Direktur Technology &amp; Information</w:t>
            </w:r>
          </w:p>
          <w:p>
            <w:pPr>
              <w:jc w:val="center"/>
            </w:pPr>
            <w:r>
              <w:rPr>
                <w:rFonts w:ascii="Arial" w:cs="Arial" w:eastAsia="Arial" w:hAnsi="Arial"/>
                <w:color w:val="666666"/>
                <w:sz w:val="18"/>
                <w:szCs w:val="18"/>
              </w:rPr>
              <w:t xml:space="preserve">PT Equity Life Indonesia</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spacing w:before="60"/>
    </w:pPr>
    <w:r>
      <w:rPr>
        <w:rFonts w:ascii="Arial" w:cs="Arial" w:eastAsia="Arial" w:hAnsi="Arial"/>
        <w:color w:val="666666"/>
        <w:sz w:val="16"/>
        <w:szCs w:val="16"/>
      </w:rPr>
      <w:t xml:space="preserve">Rahasia — Internal  |  PT Equity Life Indonesia  |  UU PDP &amp; ISO 27701:2019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64"/>
      <w:gridCol w:w="3373"/>
    </w:tblGrid>
    <w:tr>
      <w:tc>
        <w:tcPr>
          <w:tcW w:type="dxa" w:w="6264"/>
          <w:tcBorders>
            <w:top w:val="none" w:color="FFFFFF" w:sz="0"/>
            <w:left w:val="none" w:color="FFFFFF" w:sz="0"/>
            <w:bottom w:val="single" w:color="1A3C6B" w:sz="6"/>
            <w:right w:val="none" w:color="FFFFFF" w:sz="0"/>
          </w:tcBorders>
        </w:tcPr>
        <w:p>
          <w:r>
            <w:rPr>
              <w:rFonts w:ascii="Arial" w:cs="Arial" w:eastAsia="Arial" w:hAnsi="Arial"/>
              <w:b/>
              <w:bCs/>
              <w:color w:val="1A3C6B"/>
              <w:sz w:val="18"/>
              <w:szCs w:val="18"/>
            </w:rPr>
            <w:t xml:space="preserve">PT Equity Life Indonesia</w:t>
          </w:r>
        </w:p>
        <w:p>
          <w:r>
            <w:rPr>
              <w:rFonts w:ascii="Arial" w:cs="Arial" w:eastAsia="Arial" w:hAnsi="Arial"/>
              <w:color w:val="666666"/>
              <w:sz w:val="16"/>
              <w:szCs w:val="16"/>
            </w:rPr>
            <w:t xml:space="preserve">Prosedur Pseudonimisasi &amp; Anonimisasi Data Pribadi</w:t>
          </w:r>
        </w:p>
      </w:tc>
      <w:tc>
        <w:tcPr>
          <w:tcW w:type="dxa" w:w="3373"/>
          <w:tcBorders>
            <w:top w:val="none" w:color="FFFFFF" w:sz="0"/>
            <w:left w:val="none" w:color="FFFFFF" w:sz="0"/>
            <w:bottom w:val="single" w:color="1A3C6B" w:sz="6"/>
            <w:right w:val="none" w:color="FFFFFF" w:sz="0"/>
          </w:tcBorders>
        </w:tcPr>
        <w:p>
          <w:pPr>
            <w:jc w:val="right"/>
          </w:pPr>
          <w:r>
            <w:rPr>
              <w:rFonts w:ascii="Arial" w:cs="Arial" w:eastAsia="Arial" w:hAnsi="Arial"/>
              <w:color w:val="666666"/>
              <w:sz w:val="16"/>
              <w:szCs w:val="16"/>
            </w:rPr>
            <w:t xml:space="preserve">ELI-PDPISO27701-031</w:t>
          </w:r>
        </w:p>
        <w:p>
          <w:pPr>
            <w:jc w:val="right"/>
          </w:pPr>
          <w:r>
            <w:rPr>
              <w:rFonts w:ascii="Arial" w:cs="Arial" w:eastAsia="Arial" w:hAnsi="Arial"/>
              <w:color w:val="666666"/>
              <w:sz w:val="16"/>
              <w:szCs w:val="16"/>
            </w:rPr>
            <w:t xml:space="preserve">Versi 1.0 |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A3C6B"/>
      <w:sz w:val="32"/>
      <w:szCs w:val="32"/>
    </w:rPr>
  </w:style>
  <w:style w:type="paragraph" w:styleId="Heading2">
    <w:name w:val="Heading 2"/>
    <w:basedOn w:val="Normal"/>
    <w:next w:val="Normal"/>
    <w:qFormat/>
    <w:pPr>
      <w:spacing w:before="220" w:after="100"/>
      <w:outlineLvl w:val="1"/>
    </w:pPr>
    <w:rPr>
      <w:rFonts w:ascii="Arial" w:cs="Arial" w:eastAsia="Arial" w:hAnsi="Arial"/>
      <w:b/>
      <w:bCs/>
      <w:color w:val="2563A8"/>
      <w:sz w:val="26"/>
      <w:szCs w:val="26"/>
    </w:rPr>
  </w:style>
  <w:style w:type="paragraph" w:styleId="Heading3">
    <w:name w:val="Heading 3"/>
    <w:basedOn w:val="Normal"/>
    <w:next w:val="Normal"/>
    <w:qFormat/>
    <w:pPr>
      <w:spacing w:before="160" w:after="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2026-03-21T16:52:24.978Z</dcterms:created>
  <dcterms:modified xsi:type="dcterms:W3CDTF">2026-03-21T16:52:24.978Z</dcterms:modified>
</cp:coreProperties>
</file>

<file path=docProps/custom.xml><?xml version="1.0" encoding="utf-8"?>
<Properties xmlns="http://schemas.openxmlformats.org/officeDocument/2006/custom-properties" xmlns:vt="http://schemas.openxmlformats.org/officeDocument/2006/docPropsVTypes"/>
</file>