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6B" w:sz="60" w:space="0"/>
        </w:pBdr>
        <w:shd w:fill="1A3C6B" w:val="clear"/>
        <w:spacing w:before="0" w:after="0"/>
      </w:pPr>
      <w:r>
        <w:rPr>
          <w:sz w:val="60"/>
          <w:szCs w:val="60"/>
        </w:rPr>
        <w:t xml:space="preserve"/>
      </w:r>
    </w:p>
    <w:p>
      <w:pPr>
        <w:spacing w:before="560" w:after="0"/>
      </w:pPr>
      <w:r>
        <w:t xml:space="preserve"/>
      </w:r>
    </w:p>
    <w:p>
      <w:pPr>
        <w:spacing w:before="0" w:after="80"/>
        <w:jc w:val="center"/>
      </w:pPr>
      <w:r>
        <w:rPr>
          <w:rFonts w:ascii="Arial" w:cs="Arial" w:eastAsia="Arial" w:hAnsi="Arial"/>
          <w:b/>
          <w:bCs/>
          <w:color w:val="1A3C6B"/>
          <w:sz w:val="28"/>
          <w:szCs w:val="28"/>
        </w:rPr>
        <w:t xml:space="preserve">PT Equity Life Indonesia</w:t>
      </w:r>
    </w:p>
    <w:p>
      <w:pPr>
        <w:spacing w:before="0" w:after="400"/>
        <w:jc w:val="center"/>
      </w:pPr>
      <w:r>
        <w:rPr>
          <w:rFonts w:ascii="Arial" w:cs="Arial" w:eastAsia="Arial" w:hAnsi="Arial"/>
          <w:color w:val="666666"/>
          <w:sz w:val="22"/>
          <w:szCs w:val="22"/>
        </w:rPr>
        <w:t xml:space="preserve">Technology &amp; Information Directorate</w:t>
      </w:r>
    </w:p>
    <w:p>
      <w:pPr>
        <w:spacing w:before="200" w:after="0"/>
      </w:pPr>
      <w:r>
        <w:t xml:space="preserve"/>
      </w:r>
    </w:p>
    <w:p>
      <w:pPr>
        <w:spacing w:before="0" w:after="120"/>
        <w:jc w:val="center"/>
      </w:pPr>
      <w:r>
        <w:rPr>
          <w:rFonts w:ascii="Arial" w:cs="Arial" w:eastAsia="Arial" w:hAnsi="Arial"/>
          <w:b/>
          <w:bCs/>
          <w:color w:val="C8A84B"/>
          <w:sz w:val="22"/>
          <w:szCs w:val="22"/>
        </w:rPr>
        <w:t xml:space="preserve">PROSEDUR OPERASIONAL</w:t>
      </w:r>
    </w:p>
    <w:p>
      <w:pPr>
        <w:pBdr>
          <w:top w:val="single" w:color="C8A84B" w:sz="4" w:space="4"/>
          <w:bottom w:val="single" w:color="C8A84B" w:sz="4" w:space="4"/>
        </w:pBdr>
        <w:spacing w:before="0" w:after="240"/>
        <w:jc w:val="center"/>
      </w:pPr>
      <w:r>
        <w:rPr>
          <w:rFonts w:ascii="Arial" w:cs="Arial" w:eastAsia="Arial" w:hAnsi="Arial"/>
          <w:b/>
          <w:bCs/>
          <w:color w:val="1A3C6B"/>
          <w:sz w:val="38"/>
          <w:szCs w:val="38"/>
        </w:rPr>
        <w:t xml:space="preserve">Prosedur Pemeliharaan Akurasi Data Pribadi</w:t>
      </w:r>
    </w:p>
    <w:p>
      <w:pPr>
        <w:spacing w:before="400" w:after="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Kode Dokumen</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ELI-PDPISO27701-032</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Versi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Versi 1.0</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Tanggal Berlaku</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Maret 2026</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Klasifikasi</w:t>
            </w:r>
          </w:p>
        </w:tc>
        <w:tc>
          <w:tcPr>
            <w:tcW w:type="dxa" w:w="3600"/>
            <w:tcBorders>
              <w:top w:val="none" w:color="FFFFFF" w:sz="0"/>
              <w:left w:val="none" w:color="FFFFFF" w:sz="0"/>
              <w:bottom w:val="none" w:color="FFFFFF" w:sz="0"/>
              <w:right w:val="none" w:color="FFFFFF" w:sz="0"/>
            </w:tcBorders>
          </w:tcPr>
          <w:p>
            <w:r>
              <w:rPr>
                <w:rFonts w:ascii="Arial" w:cs="Arial" w:eastAsia="Arial" w:hAnsi="Arial"/>
                <w:b w:val="false"/>
                <w:bCs w:val="false"/>
                <w:color w:val="C00000"/>
                <w:sz w:val="20"/>
                <w:szCs w:val="20"/>
              </w:rPr>
              <w:t xml:space="preserve">: RAHASIA — Internal</w:t>
            </w:r>
          </w:p>
        </w:tc>
      </w:tr>
    </w:tbl>
    <w:p>
      <w:pPr>
        <w:spacing w:before="600" w:after="0"/>
      </w:pPr>
      <w:r>
        <w:t xml:space="preserve"/>
      </w:r>
    </w:p>
    <w:p>
      <w:pPr>
        <w:pBdr>
          <w:top w:val="single" w:color="CCCCCC" w:sz="4" w:space="4"/>
        </w:pBdr>
        <w:spacing w:before="0" w:after="0"/>
        <w:jc w:val="center"/>
      </w:pPr>
      <w:r>
        <w:rPr>
          <w:rFonts w:ascii="Arial" w:cs="Arial" w:eastAsia="Arial" w:hAnsi="Arial"/>
          <w:i/>
          <w:iCs/>
          <w:color w:val="666666"/>
          <w:sz w:val="16"/>
          <w:szCs w:val="16"/>
        </w:rPr>
        <w:t xml:space="preserve">© 2026 PT Equity Life Indonesia. Dokumen ini bersifat rahasia dan hanya untuk penggunaan internal.</w:t>
      </w:r>
    </w:p>
    <w:p>
      <w:r>
        <w:br w:type="page"/>
      </w:r>
    </w:p>
    <w:p>
      <w:pPr>
        <w:pStyle w:val="Heading1"/>
        <w:pBdr>
          <w:bottom w:val="single" w:color="1A3C6B" w:sz="8" w:space="4"/>
        </w:pBdr>
        <w:spacing w:before="280" w:after="140"/>
      </w:pPr>
      <w:r>
        <w:rPr>
          <w:rFonts w:ascii="Arial" w:cs="Arial" w:eastAsia="Arial" w:hAnsi="Arial"/>
          <w:b/>
          <w:bCs/>
          <w:color w:val="1A3C6B"/>
          <w:sz w:val="32"/>
          <w:szCs w:val="32"/>
        </w:rPr>
        <w:t xml:space="preserve">1. Tujuan dan Dasar Hukum</w:t>
      </w:r>
    </w:p>
    <w:p>
      <w:pPr>
        <w:spacing w:before="60" w:after="60"/>
      </w:pPr>
      <w:r>
        <w:rPr>
          <w:rFonts w:ascii="Arial" w:cs="Arial" w:eastAsia="Arial" w:hAnsi="Arial"/>
          <w:color w:val="404040"/>
          <w:sz w:val="20"/>
          <w:szCs w:val="20"/>
        </w:rPr>
        <w:t xml:space="preserve">Prosedur ini menetapkan mekanisme untuk memastikan bahwa data pribadi yang diproses oleh PT Equity Life Indonesia tetap akurat, lengkap, dan terkini sepanjang siklus hidupnya. Akurasi data merupakan prinsip fundamental UU PDP dan komponen kritis dalam operasional asuransi jiwa — data yang tidak akurat dapat mengakibatkan penolakan klaim yang seharusnya sah, kesalahan pembayaran, atau kegagalan komunikasi dalam situasi kritis seperti klaim kematian.</w:t>
      </w:r>
    </w:p>
    <w:p>
      <w:pPr>
        <w:spacing w:before="60" w:after="60"/>
      </w:pPr>
      <w:r>
        <w:rPr>
          <w:rFonts w:ascii="Arial" w:cs="Arial" w:eastAsia="Arial" w:hAnsi="Arial"/>
          <w:color w:val="404040"/>
          <w:sz w:val="20"/>
          <w:szCs w:val="20"/>
        </w:rPr>
        <w:t xml:space="preserve">Dasar hukum: UU PDP Pasal 9 (hak koreksi); UU PDP Pasal 23 (kewajiban pengendali memastikan akurasi); ISO 27701:2019 Annex B.8.4.1.</w:t>
      </w:r>
    </w:p>
    <w:p>
      <w:pPr>
        <w:pStyle w:val="Heading1"/>
        <w:pBdr>
          <w:bottom w:val="single" w:color="1A3C6B" w:sz="8" w:space="4"/>
        </w:pBdr>
        <w:spacing w:before="280" w:after="140"/>
      </w:pPr>
      <w:r>
        <w:rPr>
          <w:rFonts w:ascii="Arial" w:cs="Arial" w:eastAsia="Arial" w:hAnsi="Arial"/>
          <w:b/>
          <w:bCs/>
          <w:color w:val="1A3C6B"/>
          <w:sz w:val="32"/>
          <w:szCs w:val="32"/>
        </w:rPr>
        <w:t xml:space="preserve">2. Prinsip Akurasi di PT Equity Life Indonesia</w:t>
      </w:r>
    </w:p>
    <w:p>
      <w:pPr>
        <w:pStyle w:val="ListParagraph"/>
        <w:numPr>
          <w:ilvl w:val="0"/>
          <w:numId w:val="2"/>
        </w:numPr>
        <w:spacing w:before="40" w:after="40"/>
      </w:pPr>
      <w:r>
        <w:rPr>
          <w:rFonts w:ascii="Arial" w:cs="Arial" w:eastAsia="Arial" w:hAnsi="Arial"/>
          <w:color w:val="404040"/>
          <w:sz w:val="20"/>
          <w:szCs w:val="20"/>
        </w:rPr>
        <w:t xml:space="preserve">Data pribadi harus akurat pada saat dikumpulkan dan dipelihara akurasinya sepanjang siklus hidup data</w:t>
      </w:r>
    </w:p>
    <w:p>
      <w:pPr>
        <w:pStyle w:val="ListParagraph"/>
        <w:numPr>
          <w:ilvl w:val="0"/>
          <w:numId w:val="2"/>
        </w:numPr>
        <w:spacing w:before="40" w:after="40"/>
      </w:pPr>
      <w:r>
        <w:rPr>
          <w:rFonts w:ascii="Arial" w:cs="Arial" w:eastAsia="Arial" w:hAnsi="Arial"/>
          <w:color w:val="404040"/>
          <w:sz w:val="20"/>
          <w:szCs w:val="20"/>
        </w:rPr>
        <w:t xml:space="preserve">Data yang tidak akurat atau tidak lengkap harus dikoreksi atau dihapus tanpa penundaan</w:t>
      </w:r>
    </w:p>
    <w:p>
      <w:pPr>
        <w:pStyle w:val="ListParagraph"/>
        <w:numPr>
          <w:ilvl w:val="0"/>
          <w:numId w:val="2"/>
        </w:numPr>
        <w:spacing w:before="40" w:after="40"/>
      </w:pPr>
      <w:r>
        <w:rPr>
          <w:rFonts w:ascii="Arial" w:cs="Arial" w:eastAsia="Arial" w:hAnsi="Arial"/>
          <w:color w:val="404040"/>
          <w:sz w:val="20"/>
          <w:szCs w:val="20"/>
        </w:rPr>
        <w:t xml:space="preserve">PT Equity Life Indonesia wajib memberikan mekanisme bagi nasabah untuk mengoreksi data yang tidak akurat</w:t>
      </w:r>
    </w:p>
    <w:p>
      <w:pPr>
        <w:pStyle w:val="ListParagraph"/>
        <w:numPr>
          <w:ilvl w:val="0"/>
          <w:numId w:val="2"/>
        </w:numPr>
        <w:spacing w:before="40" w:after="40"/>
      </w:pPr>
      <w:r>
        <w:rPr>
          <w:rFonts w:ascii="Arial" w:cs="Arial" w:eastAsia="Arial" w:hAnsi="Arial"/>
          <w:color w:val="404040"/>
          <w:sz w:val="20"/>
          <w:szCs w:val="20"/>
        </w:rPr>
        <w:t xml:space="preserve">Kesalahan akurasi yang berdampak pada proses klaim atau manfaat polis harus dikoreksi dalam 24 jam</w:t>
      </w:r>
    </w:p>
    <w:p>
      <w:pPr>
        <w:pStyle w:val="Heading1"/>
        <w:pBdr>
          <w:bottom w:val="single" w:color="1A3C6B" w:sz="8" w:space="4"/>
        </w:pBdr>
        <w:spacing w:before="280" w:after="140"/>
      </w:pPr>
      <w:r>
        <w:rPr>
          <w:rFonts w:ascii="Arial" w:cs="Arial" w:eastAsia="Arial" w:hAnsi="Arial"/>
          <w:b/>
          <w:bCs/>
          <w:color w:val="1A3C6B"/>
          <w:sz w:val="32"/>
          <w:szCs w:val="32"/>
        </w:rPr>
        <w:t xml:space="preserve">3. Titik-Titik Risiko Akurasi Utama di Asuransi Jiwa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138"/>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Area Data</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Risiko Ketidakakuratan</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Dampak Bisnis &amp; Privasi</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Data identitas pemegang polis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NIK salah, nama salah eja, tanggal lahir keliru</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Kegagalan verifikasi identitas saat klaim; masalah APU-PPT</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Data ahli waris</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Nama/NIK/hubungan ahli waris tidak diperbarui</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Pembayaran klaim ke ahli waris yang salah; sengketa hukum</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Alamat korespondensi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Alamat lama tidak diperbarui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Dokumen polis/klaim tidak sampai; gagal komunikasi kritis</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Nomor rekening pembayaran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Nomor rekening tutup atau berubah</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Gagal bayar klaim; perlu proses pengembalian dana yang kompleks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Riwayat kesehatan dalam SPAJ</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kesehatan tidak lengkap atau tidak diperbarui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Sengketa klaim atas dasar non-disclosure; keputusan underwriting yang tidak tepat</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Data kontak (telepon/email)</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Nomor/email lama yang tidak aktif</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Kegagalan notifikasi insiden, polis jatuh tempo, atau klaim darurat</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Status pernikahan / ahli waris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Tidak diperbarui setelah perubahan status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Klaim dibayar kepada ahli waris yang tidak lagi valid secara hukum</w:t>
            </w:r>
          </w:p>
        </w:tc>
      </w:tr>
    </w:tbl>
    <w:p>
      <w:pPr>
        <w:pStyle w:val="Heading1"/>
        <w:pBdr>
          <w:bottom w:val="single" w:color="1A3C6B" w:sz="8" w:space="4"/>
        </w:pBdr>
        <w:spacing w:before="280" w:after="140"/>
      </w:pPr>
      <w:r>
        <w:rPr>
          <w:rFonts w:ascii="Arial" w:cs="Arial" w:eastAsia="Arial" w:hAnsi="Arial"/>
          <w:b/>
          <w:bCs/>
          <w:color w:val="1A3C6B"/>
          <w:sz w:val="32"/>
          <w:szCs w:val="32"/>
        </w:rPr>
        <w:t xml:space="preserve">4. Mekanisme Pemeliharaan Akurasi</w:t>
      </w:r>
    </w:p>
    <w:p>
      <w:pPr>
        <w:pStyle w:val="Heading2"/>
        <w:spacing w:before="220" w:after="100"/>
      </w:pPr>
      <w:r>
        <w:rPr>
          <w:rFonts w:ascii="Arial" w:cs="Arial" w:eastAsia="Arial" w:hAnsi="Arial"/>
          <w:b/>
          <w:bCs/>
          <w:color w:val="2563A8"/>
          <w:sz w:val="26"/>
          <w:szCs w:val="26"/>
        </w:rPr>
        <w:t xml:space="preserve">4.1 Validasi pada Saat Pengumpulan (Input Validation)</w:t>
      </w:r>
    </w:p>
    <w:p>
      <w:pPr>
        <w:spacing w:before="60" w:after="60"/>
      </w:pPr>
      <w:r>
        <w:rPr>
          <w:rFonts w:ascii="Arial" w:cs="Arial" w:eastAsia="Arial" w:hAnsi="Arial"/>
          <w:color w:val="404040"/>
          <w:sz w:val="20"/>
          <w:szCs w:val="20"/>
        </w:rPr>
        <w:t xml:space="preserve">Data pribadi harus divalidasi pada titik pengumpulan untuk mencegah data tidak akurat masuk ke sistem:</w:t>
      </w:r>
    </w:p>
    <w:p>
      <w:pPr>
        <w:pStyle w:val="ListParagraph"/>
        <w:numPr>
          <w:ilvl w:val="0"/>
          <w:numId w:val="2"/>
        </w:numPr>
        <w:spacing w:before="40" w:after="40"/>
      </w:pPr>
      <w:r>
        <w:rPr>
          <w:rFonts w:ascii="Arial" w:cs="Arial" w:eastAsia="Arial" w:hAnsi="Arial"/>
          <w:color w:val="404040"/>
          <w:sz w:val="20"/>
          <w:szCs w:val="20"/>
        </w:rPr>
        <w:t xml:space="preserve">NIK: validasi format 16 digit; cross-check ke Dukcapil untuk nasabah baru</w:t>
      </w:r>
    </w:p>
    <w:p>
      <w:pPr>
        <w:pStyle w:val="ListParagraph"/>
        <w:numPr>
          <w:ilvl w:val="0"/>
          <w:numId w:val="2"/>
        </w:numPr>
        <w:spacing w:before="40" w:after="40"/>
      </w:pPr>
      <w:r>
        <w:rPr>
          <w:rFonts w:ascii="Arial" w:cs="Arial" w:eastAsia="Arial" w:hAnsi="Arial"/>
          <w:color w:val="404040"/>
          <w:sz w:val="20"/>
          <w:szCs w:val="20"/>
        </w:rPr>
        <w:t xml:space="preserve">Tanggal lahir: validasi konsistensi dengan data KTP; cross-check dengan usia yang dinyatakan</w:t>
      </w:r>
    </w:p>
    <w:p>
      <w:pPr>
        <w:pStyle w:val="ListParagraph"/>
        <w:numPr>
          <w:ilvl w:val="0"/>
          <w:numId w:val="2"/>
        </w:numPr>
        <w:spacing w:before="40" w:after="40"/>
      </w:pPr>
      <w:r>
        <w:rPr>
          <w:rFonts w:ascii="Arial" w:cs="Arial" w:eastAsia="Arial" w:hAnsi="Arial"/>
          <w:color w:val="404040"/>
          <w:sz w:val="20"/>
          <w:szCs w:val="20"/>
        </w:rPr>
        <w:t xml:space="preserve">Nomor rekening: verifikasi nominal melalui bank confirmation sebelum digunakan untuk disbursement klaim</w:t>
      </w:r>
    </w:p>
    <w:p>
      <w:pPr>
        <w:pStyle w:val="ListParagraph"/>
        <w:numPr>
          <w:ilvl w:val="0"/>
          <w:numId w:val="2"/>
        </w:numPr>
        <w:spacing w:before="40" w:after="40"/>
      </w:pPr>
      <w:r>
        <w:rPr>
          <w:rFonts w:ascii="Arial" w:cs="Arial" w:eastAsia="Arial" w:hAnsi="Arial"/>
          <w:color w:val="404040"/>
          <w:sz w:val="20"/>
          <w:szCs w:val="20"/>
        </w:rPr>
        <w:t xml:space="preserve">Email &amp; telepon: verifikasi melalui OTP pada saat onboarding dan setiap kali ada perubahan</w:t>
      </w:r>
    </w:p>
    <w:p>
      <w:pPr>
        <w:pStyle w:val="ListParagraph"/>
        <w:numPr>
          <w:ilvl w:val="0"/>
          <w:numId w:val="2"/>
        </w:numPr>
        <w:spacing w:before="40" w:after="40"/>
      </w:pPr>
      <w:r>
        <w:rPr>
          <w:rFonts w:ascii="Arial" w:cs="Arial" w:eastAsia="Arial" w:hAnsi="Arial"/>
          <w:color w:val="404040"/>
          <w:sz w:val="20"/>
          <w:szCs w:val="20"/>
        </w:rPr>
        <w:t xml:space="preserve">Nama: normalisasi ejaan dan tidak boleh ada karakter khusus yang tidak valid</w:t>
      </w:r>
    </w:p>
    <w:p>
      <w:pPr>
        <w:pStyle w:val="Heading2"/>
        <w:spacing w:before="220" w:after="100"/>
      </w:pPr>
      <w:r>
        <w:rPr>
          <w:rFonts w:ascii="Arial" w:cs="Arial" w:eastAsia="Arial" w:hAnsi="Arial"/>
          <w:b/>
          <w:bCs/>
          <w:color w:val="2563A8"/>
          <w:sz w:val="26"/>
          <w:szCs w:val="26"/>
        </w:rPr>
        <w:t xml:space="preserve">4.2 Pembaruan Data oleh Nasabah — Kanal Self-Service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2138"/>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Kanal</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Data yang Dapat Diperbarui</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Persyaratan Verifikasi</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Waktu Proses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Aplikasi Mobile ELI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Nomor telepon, email, alamat, nomor rekening</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OTP ke nomor lama + selfie verifikasi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Real-time</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Portal Web ELI</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Alamat korespondensi, email, nomor telepon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OTP ke email/telepon terdaftar</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Real-time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Kantor Cabang</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Semua jenis data termasuk data ahli waris dan nomor rekening</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KTP asli + verifikasi petugas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1 hari kerja</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Customer Care</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non-sensitif: alamat, email, telepon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Verifikasi kata kunci + OTP</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1–2 hari kerja</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Surat Resmi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ahli waris, status pernikahan (perlu dokumen pendukung)</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Dokumen legal (akte nikah, KK, dll.)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3–5 hari kerja</w:t>
            </w:r>
          </w:p>
        </w:tc>
      </w:tr>
    </w:tbl>
    <w:p>
      <w:pPr>
        <w:pStyle w:val="Heading2"/>
        <w:spacing w:before="220" w:after="100"/>
      </w:pPr>
      <w:r>
        <w:rPr>
          <w:rFonts w:ascii="Arial" w:cs="Arial" w:eastAsia="Arial" w:hAnsi="Arial"/>
          <w:b/>
          <w:bCs/>
          <w:color w:val="2563A8"/>
          <w:sz w:val="26"/>
          <w:szCs w:val="26"/>
        </w:rPr>
        <w:t xml:space="preserve">4.3 Pembaruan Proaktif oleh PT Equity Life Indonesia</w:t>
      </w:r>
    </w:p>
    <w:p>
      <w:pPr>
        <w:spacing w:before="60" w:after="60"/>
      </w:pPr>
      <w:r>
        <w:rPr>
          <w:rFonts w:ascii="Arial" w:cs="Arial" w:eastAsia="Arial" w:hAnsi="Arial"/>
          <w:color w:val="404040"/>
          <w:sz w:val="20"/>
          <w:szCs w:val="20"/>
        </w:rPr>
        <w:t xml:space="preserve">PT Equity Life Indonesia melakukan pembaruan data secara proaktif dalam kondisi berikut:</w:t>
      </w:r>
    </w:p>
    <w:p>
      <w:pPr>
        <w:pStyle w:val="ListParagraph"/>
        <w:numPr>
          <w:ilvl w:val="0"/>
          <w:numId w:val="2"/>
        </w:numPr>
        <w:spacing w:before="40" w:after="40"/>
      </w:pPr>
      <w:r>
        <w:rPr>
          <w:rFonts w:ascii="Arial" w:cs="Arial" w:eastAsia="Arial" w:hAnsi="Arial"/>
          <w:color w:val="404040"/>
          <w:sz w:val="20"/>
          <w:szCs w:val="20"/>
        </w:rPr>
        <w:t xml:space="preserve">Periodic Data Refresh: reminder kepada nasabah untuk memverifikasi dan memperbarui data kontak setiap 2 tahun</w:t>
      </w:r>
    </w:p>
    <w:p>
      <w:pPr>
        <w:pStyle w:val="ListParagraph"/>
        <w:numPr>
          <w:ilvl w:val="0"/>
          <w:numId w:val="2"/>
        </w:numPr>
        <w:spacing w:before="40" w:after="40"/>
      </w:pPr>
      <w:r>
        <w:rPr>
          <w:rFonts w:ascii="Arial" w:cs="Arial" w:eastAsia="Arial" w:hAnsi="Arial"/>
          <w:color w:val="404040"/>
          <w:sz w:val="20"/>
          <w:szCs w:val="20"/>
        </w:rPr>
        <w:t xml:space="preserve">Event-Triggered Update: permintaan pembaruan data dikirim kepada nasabah ketika polis diperpanjang, saat ada klaim, atau saat anniversary polis</w:t>
      </w:r>
    </w:p>
    <w:p>
      <w:pPr>
        <w:pStyle w:val="ListParagraph"/>
        <w:numPr>
          <w:ilvl w:val="0"/>
          <w:numId w:val="2"/>
        </w:numPr>
        <w:spacing w:before="40" w:after="40"/>
      </w:pPr>
      <w:r>
        <w:rPr>
          <w:rFonts w:ascii="Arial" w:cs="Arial" w:eastAsia="Arial" w:hAnsi="Arial"/>
          <w:color w:val="404040"/>
          <w:sz w:val="20"/>
          <w:szCs w:val="20"/>
        </w:rPr>
        <w:t xml:space="preserve">Returned Mail / Failed Delivery: investigasi dan pembaruan alamat jika surat resmi atau email dikembalikan</w:t>
      </w:r>
    </w:p>
    <w:p>
      <w:pPr>
        <w:pStyle w:val="ListParagraph"/>
        <w:numPr>
          <w:ilvl w:val="0"/>
          <w:numId w:val="2"/>
        </w:numPr>
        <w:spacing w:before="40" w:after="40"/>
      </w:pPr>
      <w:r>
        <w:rPr>
          <w:rFonts w:ascii="Arial" w:cs="Arial" w:eastAsia="Arial" w:hAnsi="Arial"/>
          <w:color w:val="404040"/>
          <w:sz w:val="20"/>
          <w:szCs w:val="20"/>
        </w:rPr>
        <w:t xml:space="preserve">Hasil Rekonsiliasi: koreksi data jika ditemukan ketidaksesuaian dalam proses rekonsiliasi sistem</w:t>
      </w:r>
    </w:p>
    <w:p>
      <w:pPr>
        <w:pStyle w:val="Heading2"/>
        <w:spacing w:before="220" w:after="100"/>
      </w:pPr>
      <w:r>
        <w:rPr>
          <w:rFonts w:ascii="Arial" w:cs="Arial" w:eastAsia="Arial" w:hAnsi="Arial"/>
          <w:b/>
          <w:bCs/>
          <w:color w:val="2563A8"/>
          <w:sz w:val="26"/>
          <w:szCs w:val="26"/>
        </w:rPr>
        <w:t xml:space="preserve">4.4 Pemenuhan Hak Koreksi (Pasal 9 UU PDP)</w:t>
      </w:r>
    </w:p>
    <w:p>
      <w:pPr>
        <w:spacing w:before="60" w:after="60"/>
      </w:pPr>
      <w:r>
        <w:rPr>
          <w:rFonts w:ascii="Arial" w:cs="Arial" w:eastAsia="Arial" w:hAnsi="Arial"/>
          <w:color w:val="404040"/>
          <w:sz w:val="20"/>
          <w:szCs w:val="20"/>
        </w:rPr>
        <w:t xml:space="preserve">Ketika nasabah mengajukan permintaan koreksi data:</w:t>
      </w:r>
    </w:p>
    <w:p>
      <w:pPr>
        <w:pStyle w:val="ListParagraph"/>
        <w:numPr>
          <w:ilvl w:val="0"/>
          <w:numId w:val="3"/>
        </w:numPr>
        <w:spacing w:before="60" w:after="60"/>
      </w:pPr>
      <w:r>
        <w:rPr>
          <w:rFonts w:ascii="Arial" w:cs="Arial" w:eastAsia="Arial" w:hAnsi="Arial"/>
          <w:color w:val="404040"/>
          <w:sz w:val="20"/>
          <w:szCs w:val="20"/>
        </w:rPr>
        <w:t xml:space="preserve">Terima permintaan melalui kanal yang tersedia (lihat Prosedur Hak Subjek Data ELI-PDPISO27701-010)</w:t>
      </w:r>
    </w:p>
    <w:p>
      <w:pPr>
        <w:pStyle w:val="ListParagraph"/>
        <w:numPr>
          <w:ilvl w:val="0"/>
          <w:numId w:val="3"/>
        </w:numPr>
        <w:spacing w:before="60" w:after="60"/>
      </w:pPr>
      <w:r>
        <w:rPr>
          <w:rFonts w:ascii="Arial" w:cs="Arial" w:eastAsia="Arial" w:hAnsi="Arial"/>
          <w:color w:val="404040"/>
          <w:sz w:val="20"/>
          <w:szCs w:val="20"/>
        </w:rPr>
        <w:t xml:space="preserve">Verifikasi identitas pemohon sebelum melakukan koreksi</w:t>
      </w:r>
    </w:p>
    <w:p>
      <w:pPr>
        <w:pStyle w:val="ListParagraph"/>
        <w:numPr>
          <w:ilvl w:val="0"/>
          <w:numId w:val="3"/>
        </w:numPr>
        <w:spacing w:before="60" w:after="60"/>
      </w:pPr>
      <w:r>
        <w:rPr>
          <w:rFonts w:ascii="Arial" w:cs="Arial" w:eastAsia="Arial" w:hAnsi="Arial"/>
          <w:color w:val="404040"/>
          <w:sz w:val="20"/>
          <w:szCs w:val="20"/>
        </w:rPr>
        <w:t xml:space="preserve">Laksanakan koreksi dalam waktu maksimal 3x24 jam (data kritis: 24 jam)</w:t>
      </w:r>
    </w:p>
    <w:p>
      <w:pPr>
        <w:pStyle w:val="ListParagraph"/>
        <w:numPr>
          <w:ilvl w:val="0"/>
          <w:numId w:val="3"/>
        </w:numPr>
        <w:spacing w:before="60" w:after="60"/>
      </w:pPr>
      <w:r>
        <w:rPr>
          <w:rFonts w:ascii="Arial" w:cs="Arial" w:eastAsia="Arial" w:hAnsi="Arial"/>
          <w:color w:val="404040"/>
          <w:sz w:val="20"/>
          <w:szCs w:val="20"/>
        </w:rPr>
        <w:t xml:space="preserve">Konfirmasikan koreksi kepada nasabah melalui email atau SMS</w:t>
      </w:r>
    </w:p>
    <w:p>
      <w:pPr>
        <w:pStyle w:val="ListParagraph"/>
        <w:numPr>
          <w:ilvl w:val="0"/>
          <w:numId w:val="3"/>
        </w:numPr>
        <w:spacing w:before="60" w:after="60"/>
      </w:pPr>
      <w:r>
        <w:rPr>
          <w:rFonts w:ascii="Arial" w:cs="Arial" w:eastAsia="Arial" w:hAnsi="Arial"/>
          <w:color w:val="404040"/>
          <w:sz w:val="20"/>
          <w:szCs w:val="20"/>
        </w:rPr>
        <w:t xml:space="preserve">Jika koreksi berdampak pada proses yang sedang berjalan (misalnya: klaim dalam proses), inform tim terkait segera</w:t>
      </w:r>
    </w:p>
    <w:p>
      <w:pPr>
        <w:pStyle w:val="ListParagraph"/>
        <w:numPr>
          <w:ilvl w:val="0"/>
          <w:numId w:val="3"/>
        </w:numPr>
        <w:spacing w:before="60" w:after="60"/>
      </w:pPr>
      <w:r>
        <w:rPr>
          <w:rFonts w:ascii="Arial" w:cs="Arial" w:eastAsia="Arial" w:hAnsi="Arial"/>
          <w:color w:val="404040"/>
          <w:sz w:val="20"/>
          <w:szCs w:val="20"/>
        </w:rPr>
        <w:t xml:space="preserve">Dokumentasikan permintaan koreksi dalam log audit trail</w:t>
      </w:r>
    </w:p>
    <w:p>
      <w:pPr>
        <w:pStyle w:val="Heading1"/>
        <w:pBdr>
          <w:bottom w:val="single" w:color="1A3C6B" w:sz="8" w:space="4"/>
        </w:pBdr>
        <w:spacing w:before="280" w:after="140"/>
      </w:pPr>
      <w:r>
        <w:rPr>
          <w:rFonts w:ascii="Arial" w:cs="Arial" w:eastAsia="Arial" w:hAnsi="Arial"/>
          <w:b/>
          <w:bCs/>
          <w:color w:val="1A3C6B"/>
          <w:sz w:val="32"/>
          <w:szCs w:val="32"/>
        </w:rPr>
        <w:t xml:space="preserve">5. Audit Kualitas Data Berkala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638"/>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Jenis Audit</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Cakupan</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Frekuensi</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Penanggung Jawab</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Data Quality Scan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Deteksi field kosong wajib, format tidak valid, duplikat data nasabah</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Bulanan (otomatis)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Management</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NIK Reconciliation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Cross-check NIK nasabah aktif dengan database Dukcapil</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Tahunan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Management + Compliance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Rekening Bank Verification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Verifikasi nomor rekening aktif untuk polis yang akan jatuh tempo/klaim</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Sebelum disbursement klaim</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IT Core + Finance</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Alamat Validation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Validasi format alamat; identifikasi alamat yang tidak dapat dijangkau</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Setiap 2 tahun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Client Services + Data Mgmt</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Post-Claim Data Review</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Review akurasi data yang digunakan dalam proses klaim yang diselesaikan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Per batch klaim</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Claim + Data Management</w:t>
            </w:r>
          </w:p>
        </w:tc>
      </w:tr>
    </w:tbl>
    <w:p>
      <w:pPr>
        <w:pStyle w:val="Heading1"/>
        <w:pBdr>
          <w:bottom w:val="single" w:color="1A3C6B" w:sz="8" w:space="4"/>
        </w:pBdr>
        <w:spacing w:before="280" w:after="140"/>
      </w:pPr>
      <w:r>
        <w:rPr>
          <w:rFonts w:ascii="Arial" w:cs="Arial" w:eastAsia="Arial" w:hAnsi="Arial"/>
          <w:b/>
          <w:bCs/>
          <w:color w:val="1A3C6B"/>
          <w:sz w:val="32"/>
          <w:szCs w:val="32"/>
        </w:rPr>
        <w:t xml:space="preserve">6. Pelaporan &amp; KPI Akurasi Data</w:t>
      </w:r>
    </w:p>
    <w:p>
      <w:pPr>
        <w:spacing w:before="60" w:after="60"/>
      </w:pPr>
      <w:r>
        <w:rPr>
          <w:rFonts w:ascii="Arial" w:cs="Arial" w:eastAsia="Arial" w:hAnsi="Arial"/>
          <w:color w:val="404040"/>
          <w:sz w:val="20"/>
          <w:szCs w:val="20"/>
        </w:rPr>
        <w:t xml:space="preserve">Data Management melaporkan KPI akurasi data kepada DPO setiap bulan:</w:t>
      </w:r>
    </w:p>
    <w:p>
      <w:pPr>
        <w:pStyle w:val="ListParagraph"/>
        <w:numPr>
          <w:ilvl w:val="0"/>
          <w:numId w:val="2"/>
        </w:numPr>
        <w:spacing w:before="40" w:after="40"/>
      </w:pPr>
      <w:r>
        <w:rPr>
          <w:rFonts w:ascii="Arial" w:cs="Arial" w:eastAsia="Arial" w:hAnsi="Arial"/>
          <w:color w:val="404040"/>
          <w:sz w:val="20"/>
          <w:szCs w:val="20"/>
        </w:rPr>
        <w:t xml:space="preserve">Persentase field data wajib yang lengkap (target: &gt;99%)</w:t>
      </w:r>
    </w:p>
    <w:p>
      <w:pPr>
        <w:pStyle w:val="ListParagraph"/>
        <w:numPr>
          <w:ilvl w:val="0"/>
          <w:numId w:val="2"/>
        </w:numPr>
        <w:spacing w:before="40" w:after="40"/>
      </w:pPr>
      <w:r>
        <w:rPr>
          <w:rFonts w:ascii="Arial" w:cs="Arial" w:eastAsia="Arial" w:hAnsi="Arial"/>
          <w:color w:val="404040"/>
          <w:sz w:val="20"/>
          <w:szCs w:val="20"/>
        </w:rPr>
        <w:t xml:space="preserve">Jumlah permintaan koreksi dari nasabah dan waktu penyelesaian rata-rata</w:t>
      </w:r>
    </w:p>
    <w:p>
      <w:pPr>
        <w:pStyle w:val="ListParagraph"/>
        <w:numPr>
          <w:ilvl w:val="0"/>
          <w:numId w:val="2"/>
        </w:numPr>
        <w:spacing w:before="40" w:after="40"/>
      </w:pPr>
      <w:r>
        <w:rPr>
          <w:rFonts w:ascii="Arial" w:cs="Arial" w:eastAsia="Arial" w:hAnsi="Arial"/>
          <w:color w:val="404040"/>
          <w:sz w:val="20"/>
          <w:szCs w:val="20"/>
        </w:rPr>
        <w:t xml:space="preserve">Persentase email bounce / SMS gagal kirim (target: &lt;2%)</w:t>
      </w:r>
    </w:p>
    <w:p>
      <w:pPr>
        <w:pStyle w:val="ListParagraph"/>
        <w:numPr>
          <w:ilvl w:val="0"/>
          <w:numId w:val="2"/>
        </w:numPr>
        <w:spacing w:before="40" w:after="40"/>
      </w:pPr>
      <w:r>
        <w:rPr>
          <w:rFonts w:ascii="Arial" w:cs="Arial" w:eastAsia="Arial" w:hAnsi="Arial"/>
          <w:color w:val="404040"/>
          <w:sz w:val="20"/>
          <w:szCs w:val="20"/>
        </w:rPr>
        <w:t xml:space="preserve">Jumlah kasus disbursement gagal akibat nomor rekening tidak valid</w:t>
      </w:r>
    </w:p>
    <w:p>
      <w:pPr>
        <w:pStyle w:val="ListParagraph"/>
        <w:numPr>
          <w:ilvl w:val="0"/>
          <w:numId w:val="2"/>
        </w:numPr>
        <w:spacing w:before="40" w:after="40"/>
      </w:pPr>
      <w:r>
        <w:rPr>
          <w:rFonts w:ascii="Arial" w:cs="Arial" w:eastAsia="Arial" w:hAnsi="Arial"/>
          <w:color w:val="404040"/>
          <w:sz w:val="20"/>
          <w:szCs w:val="20"/>
        </w:rPr>
        <w:t xml:space="preserve">Persentase NIK yang terverifikasi melalui Dukcapil untuk nasabah aktif</w:t>
      </w:r>
    </w:p>
    <w:p>
      <w:pPr>
        <w:pStyle w:val="Heading1"/>
        <w:pBdr>
          <w:bottom w:val="single" w:color="1A3C6B" w:sz="8" w:space="4"/>
        </w:pBdr>
        <w:spacing w:before="280" w:after="140"/>
      </w:pPr>
      <w:r>
        <w:rPr>
          <w:rFonts w:ascii="Arial" w:cs="Arial" w:eastAsia="Arial" w:hAnsi="Arial"/>
          <w:b/>
          <w:bCs/>
          <w:color w:val="1A3C6B"/>
          <w:sz w:val="32"/>
          <w:szCs w:val="32"/>
        </w:rPr>
        <w:t xml:space="preserve">7. Persetujuan Dokumen</w:t>
      </w:r>
    </w:p>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Disusun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Diperiksa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Disetujui oleh</w:t>
            </w:r>
          </w:p>
        </w:tc>
      </w:tr>
      <w:tr>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r>
      <w:tr>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DPO / Head of Data Management</w:t>
            </w:r>
          </w:p>
          <w:p>
            <w:pPr>
              <w:jc w:val="center"/>
            </w:pPr>
            <w:r>
              <w:rPr>
                <w:rFonts w:ascii="Arial" w:cs="Arial" w:eastAsia="Arial" w:hAnsi="Arial"/>
                <w:color w:val="666666"/>
                <w:sz w:val="18"/>
                <w:szCs w:val="18"/>
              </w:rPr>
              <w:t xml:space="preserve">Digital Solution Development</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Head of Client Services</w:t>
            </w:r>
          </w:p>
          <w:p>
            <w:pPr>
              <w:jc w:val="center"/>
            </w:pPr>
            <w:r>
              <w:rPr>
                <w:rFonts w:ascii="Arial" w:cs="Arial" w:eastAsia="Arial" w:hAnsi="Arial"/>
                <w:color w:val="666666"/>
                <w:sz w:val="18"/>
                <w:szCs w:val="18"/>
              </w:rPr>
              <w:t xml:space="preserve">Operation Directorate</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Direktur Technology &amp; Information</w:t>
            </w:r>
          </w:p>
          <w:p>
            <w:pPr>
              <w:jc w:val="center"/>
            </w:pPr>
            <w:r>
              <w:rPr>
                <w:rFonts w:ascii="Arial" w:cs="Arial" w:eastAsia="Arial" w:hAnsi="Arial"/>
                <w:color w:val="666666"/>
                <w:sz w:val="18"/>
                <w:szCs w:val="18"/>
              </w:rPr>
              <w:t xml:space="preserve">PT Equity Life Indonesia</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rFonts w:ascii="Arial" w:cs="Arial" w:eastAsia="Arial" w:hAnsi="Arial"/>
        <w:color w:val="666666"/>
        <w:sz w:val="16"/>
        <w:szCs w:val="16"/>
      </w:rPr>
      <w:t xml:space="preserve">Rahasia — Internal  |  PT Equity Life Indonesia  |  UU PDP &amp; ISO 27701:2019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4"/>
      <w:gridCol w:w="3373"/>
    </w:tblGrid>
    <w:tr>
      <w:tc>
        <w:tcPr>
          <w:tcW w:type="dxa" w:w="6264"/>
          <w:tcBorders>
            <w:top w:val="none" w:color="FFFFFF" w:sz="0"/>
            <w:left w:val="none" w:color="FFFFFF" w:sz="0"/>
            <w:bottom w:val="single" w:color="1A3C6B" w:sz="6"/>
            <w:right w:val="none" w:color="FFFFFF" w:sz="0"/>
          </w:tcBorders>
        </w:tcPr>
        <w:p>
          <w:r>
            <w:rPr>
              <w:rFonts w:ascii="Arial" w:cs="Arial" w:eastAsia="Arial" w:hAnsi="Arial"/>
              <w:b/>
              <w:bCs/>
              <w:color w:val="1A3C6B"/>
              <w:sz w:val="18"/>
              <w:szCs w:val="18"/>
            </w:rPr>
            <w:t xml:space="preserve">PT Equity Life Indonesia</w:t>
          </w:r>
        </w:p>
        <w:p>
          <w:r>
            <w:rPr>
              <w:rFonts w:ascii="Arial" w:cs="Arial" w:eastAsia="Arial" w:hAnsi="Arial"/>
              <w:color w:val="666666"/>
              <w:sz w:val="16"/>
              <w:szCs w:val="16"/>
            </w:rPr>
            <w:t xml:space="preserve">Prosedur Pemeliharaan Akurasi Data Pribadi</w:t>
          </w:r>
        </w:p>
      </w:tc>
      <w:tc>
        <w:tcPr>
          <w:tcW w:type="dxa" w:w="3373"/>
          <w:tcBorders>
            <w:top w:val="none" w:color="FFFFFF" w:sz="0"/>
            <w:left w:val="none" w:color="FFFFFF" w:sz="0"/>
            <w:bottom w:val="single" w:color="1A3C6B" w:sz="6"/>
            <w:right w:val="none" w:color="FFFFFF" w:sz="0"/>
          </w:tcBorders>
        </w:tcPr>
        <w:p>
          <w:pPr>
            <w:jc w:val="right"/>
          </w:pPr>
          <w:r>
            <w:rPr>
              <w:rFonts w:ascii="Arial" w:cs="Arial" w:eastAsia="Arial" w:hAnsi="Arial"/>
              <w:color w:val="666666"/>
              <w:sz w:val="16"/>
              <w:szCs w:val="16"/>
            </w:rPr>
            <w:t xml:space="preserve">ELI-PDPISO27701-032</w:t>
          </w:r>
        </w:p>
        <w:p>
          <w:pPr>
            <w:jc w:val="right"/>
          </w:pPr>
          <w:r>
            <w:rPr>
              <w:rFonts w:ascii="Arial" w:cs="Arial" w:eastAsia="Arial" w:hAnsi="Arial"/>
              <w:color w:val="666666"/>
              <w:sz w:val="16"/>
              <w:szCs w:val="16"/>
            </w:rPr>
            <w:t xml:space="preserve">Versi 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A3C6B"/>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563A8"/>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2026-03-21T16:52:25.004Z</dcterms:created>
  <dcterms:modified xsi:type="dcterms:W3CDTF">2026-03-21T16:52:25.004Z</dcterms:modified>
</cp:coreProperties>
</file>

<file path=docProps/custom.xml><?xml version="1.0" encoding="utf-8"?>
<Properties xmlns="http://schemas.openxmlformats.org/officeDocument/2006/custom-properties" xmlns:vt="http://schemas.openxmlformats.org/officeDocument/2006/docPropsVTypes"/>
</file>