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20" w:after="0"/>
      </w:pPr>
      <w:r>
        <w:t xml:space="preserve"/>
      </w:r>
    </w:p>
    <w:p>
      <w:pPr>
        <w:spacing w:before="0" w:after="60"/>
        <w:jc w:val="center"/>
      </w:pPr>
      <w:r>
        <w:rPr>
          <w:rFonts w:ascii="Arial" w:cs="Arial" w:eastAsia="Arial" w:hAnsi="Arial"/>
          <w:b/>
          <w:bCs/>
          <w:color w:val="1A3C6B"/>
          <w:sz w:val="32"/>
          <w:szCs w:val="32"/>
        </w:rPr>
        <w:t xml:space="preserve">PT EQUITY LIFE INDONESIA</w:t>
      </w:r>
    </w:p>
    <w:p>
      <w:pPr>
        <w:spacing w:before="0" w:after="360"/>
        <w:jc w:val="center"/>
      </w:pPr>
      <w:r>
        <w:rPr>
          <w:rFonts w:ascii="Arial" w:cs="Arial" w:eastAsia="Arial" w:hAnsi="Arial"/>
          <w:color w:val="666666"/>
          <w:sz w:val="22"/>
          <w:szCs w:val="22"/>
        </w:rPr>
        <w:t xml:space="preserve">Technology &amp; Information Directorate</w:t>
      </w:r>
    </w:p>
    <w:p>
      <w:pPr>
        <w:spacing w:before="160" w:after="0"/>
      </w:pPr>
      <w:r>
        <w:t xml:space="preserve"/>
      </w:r>
    </w:p>
    <w:p>
      <w:pPr>
        <w:spacing w:before="0" w:after="100"/>
        <w:jc w:val="center"/>
      </w:pPr>
      <w:r>
        <w:rPr>
          <w:rFonts w:ascii="Arial" w:cs="Arial" w:eastAsia="Arial" w:hAnsi="Arial"/>
          <w:b/>
          <w:bCs/>
          <w:color w:val="C8A84B"/>
          <w:sz w:val="22"/>
          <w:szCs w:val="22"/>
        </w:rPr>
        <w:t xml:space="preserve">KEBIJAKAN INDUK</w:t>
      </w:r>
    </w:p>
    <w:p>
      <w:pPr>
        <w:pBdr>
          <w:top w:val="single" w:color="C8A84B" w:sz="4" w:space="4"/>
          <w:bottom w:val="single" w:color="C8A84B" w:sz="4" w:space="4"/>
        </w:pBdr>
        <w:spacing w:before="0" w:after="280"/>
        <w:jc w:val="center"/>
      </w:pPr>
      <w:r>
        <w:rPr>
          <w:rFonts w:ascii="Arial" w:cs="Arial" w:eastAsia="Arial" w:hAnsi="Arial"/>
          <w:b/>
          <w:bCs/>
          <w:color w:val="1A3C6B"/>
          <w:sz w:val="36"/>
          <w:szCs w:val="36"/>
        </w:rPr>
        <w:t xml:space="preserve">Kebijakan Privasi Terpadu (Master Privacy Policy)</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ELI-PDPISO27701-033</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56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Pernyataan Komitmen Direksi</w:t>
      </w:r>
    </w:p>
    <w:p>
      <w:pPr>
        <w:pBdr>
          <w:left w:val="single" w:color="1A3C6B" w:sz="16" w:space="8"/>
        </w:pBdr>
        <w:shd w:fill="EEF4FB" w:val="clear"/>
        <w:spacing w:before="60" w:after="60"/>
        <w:ind w:left="360"/>
      </w:pPr>
      <w:r>
        <w:rPr>
          <w:rFonts w:ascii="Arial" w:cs="Arial" w:eastAsia="Arial" w:hAnsi="Arial"/>
          <w:i/>
          <w:iCs/>
          <w:color w:val="404040"/>
          <w:sz w:val="20"/>
          <w:szCs w:val="20"/>
        </w:rPr>
        <w:t xml:space="preserve">PT Equity Life Indonesia berkomitmen penuh untuk melindungi privasi dan data pribadi seluruh pemangku kepentingan — nasabah, agen, karyawan, dan mitra bisnis — sebagai kewajiban hukum, etika bisnis, dan fondasi kepercayaan jangka panjang perusahaan. Perlindungan data bukan sekadar kepatuhan regulasi, melainkan bagian integral dari cara kami menjalankan bisnis asuransi jiwa yang bertanggung jawab.</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2. Dasar Hukum &amp; Standar Referensi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74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Regulasi / Standar</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Ketentuan yang Diadopsi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UU No. 27 Tahun 2022 (UU PDP)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Seluruh kewajiban pengendali data pribadi, termasuk hak subjek data, dasar pemrosesan, DPIA, DPO, dan notifikasi insiden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POJK No. 22/POJK.04/2021</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Tata kelola perusahaan asuransi jiwa termasuk pengelolaan data nasabah</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POJK APU-PPT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Program Anti Pencucian Uang dan Pencegahan Pendanaan Terorisme — kewajiban pengumpulan dan verifikasi data nasabah</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ISO 27001:2022</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Sistem Manajemen Keamanan Informasi (ISMS) — kontrol keamanan teknis dan organisasi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ISO 27701:2019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Privacy Information Management System (PIMS) — ekstensi privasi atas ISMS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NIST Privacy Framework</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Referensi teknis tambahan untuk kontrol privasi</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3. Prinsip-Prinsip Perlindungan Data</w:t>
      </w:r>
    </w:p>
    <w:p>
      <w:pPr>
        <w:spacing w:before="60" w:after="60"/>
      </w:pPr>
      <w:r>
        <w:rPr>
          <w:rFonts w:ascii="Arial" w:cs="Arial" w:eastAsia="Arial" w:hAnsi="Arial"/>
          <w:color w:val="404040"/>
          <w:sz w:val="20"/>
          <w:szCs w:val="20"/>
        </w:rPr>
        <w:t xml:space="preserve">Seluruh aktivitas pemrosesan data pribadi di PT Equity Life Indonesia harus mematuhi delapan prinsip berikut:</w:t>
      </w:r>
    </w:p>
    <w:p>
      <w:pPr>
        <w:spacing w:before="6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0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Prinsip</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Implementasi di PT Equity Life Indonesia</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Legalitas &amp; Keabsahan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Setiap pemrosesan memiliki dasar hukum yang valid (persetujuan, kontrak, kewajiban hukum, kepentingan vital, atau kepentingan sah) dan terdokumentasi dalam RoPA</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Transparansi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Nasabah diberitahu mengenai pemrosesan data pribadi mereka melalui Privacy Notice sebelum atau saat pengumpulan data</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Batasan Tujuan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hanya digunakan untuk tujuan yang telah ditetapkan; tidak dialihfungsikan untuk tujuan yang tidak kompatibel tanpa dasar hukum baru</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4</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Minimisasi Data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Hanya data yang benar-benar diperlukan yang dikumpulkan; setiap field data harus memiliki justifikasi bisnis yang valid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Akurasi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dipelihara agar akurat dan terkini; nasabah memiliki hak untuk mengoreksi data yang tidak akurat</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6</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Pembatasan Penyimpanan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tidak disimpan melebihi periode yang diperlukan sesuai tujuan pemrosesan dan ketentuan regulasi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7</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Keamanan &amp; Integritas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dilindungi dengan kontrol keamanan teknis dan organisasi yang proporsional terhadap risiko</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8</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Akuntabilitas</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PT Equity Life Indonesia dapat membuktikan kepatuhannya terhadap seluruh prinsip di atas kapan saja kepada regulator dan subjek data</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4. Data Pribadi yang Diproses</w:t>
      </w:r>
    </w:p>
    <w:p>
      <w:pPr>
        <w:pStyle w:val="Heading2"/>
        <w:spacing w:before="220" w:after="100"/>
      </w:pPr>
      <w:r>
        <w:rPr>
          <w:rFonts w:ascii="Arial" w:cs="Arial" w:eastAsia="Arial" w:hAnsi="Arial"/>
          <w:b/>
          <w:bCs/>
          <w:color w:val="2563A8"/>
          <w:sz w:val="26"/>
          <w:szCs w:val="26"/>
        </w:rPr>
        <w:t xml:space="preserve">4.1 Kategori Data Berdasarkan Klasifikasi</w:t>
      </w:r>
    </w:p>
    <w:p>
      <w:pPr>
        <w:spacing w:before="60" w:after="60"/>
      </w:pPr>
      <w:r>
        <w:rPr>
          <w:rFonts w:ascii="Arial" w:cs="Arial" w:eastAsia="Arial" w:hAnsi="Arial"/>
          <w:color w:val="404040"/>
          <w:sz w:val="20"/>
          <w:szCs w:val="20"/>
        </w:rPr>
        <w:t xml:space="preserve">PT Equity Life Indonesia memproses data pribadi dalam empat kelas berdasarkan sensitivitas dan ketentuan regulasi (selengkapnya lihat ELI-PDPISO27701-004):</w:t>
      </w:r>
    </w:p>
    <w:p>
      <w:pPr>
        <w:pStyle w:val="ListParagraph"/>
        <w:numPr>
          <w:ilvl w:val="0"/>
          <w:numId w:val="2"/>
        </w:numPr>
        <w:spacing w:before="40" w:after="40"/>
      </w:pPr>
      <w:r>
        <w:rPr>
          <w:rFonts w:ascii="Arial" w:cs="Arial" w:eastAsia="Arial" w:hAnsi="Arial"/>
          <w:color w:val="404040"/>
          <w:sz w:val="20"/>
          <w:szCs w:val="20"/>
        </w:rPr>
        <w:t xml:space="preserve">Kelas 1 — Data Pribadi Spesifik: data kesehatan/medis nasabah, data biometrik (e-KYC), data keuangan pribadi, data anak</w:t>
      </w:r>
    </w:p>
    <w:p>
      <w:pPr>
        <w:pStyle w:val="ListParagraph"/>
        <w:numPr>
          <w:ilvl w:val="0"/>
          <w:numId w:val="2"/>
        </w:numPr>
        <w:spacing w:before="40" w:after="40"/>
      </w:pPr>
      <w:r>
        <w:rPr>
          <w:rFonts w:ascii="Arial" w:cs="Arial" w:eastAsia="Arial" w:hAnsi="Arial"/>
          <w:color w:val="404040"/>
          <w:sz w:val="20"/>
          <w:szCs w:val="20"/>
        </w:rPr>
        <w:t xml:space="preserve">Kelas 2 — Data Pribadi Sensitif: NIK, data polis, data klaim, data agen</w:t>
      </w:r>
    </w:p>
    <w:p>
      <w:pPr>
        <w:pStyle w:val="ListParagraph"/>
        <w:numPr>
          <w:ilvl w:val="0"/>
          <w:numId w:val="2"/>
        </w:numPr>
        <w:spacing w:before="40" w:after="40"/>
      </w:pPr>
      <w:r>
        <w:rPr>
          <w:rFonts w:ascii="Arial" w:cs="Arial" w:eastAsia="Arial" w:hAnsi="Arial"/>
          <w:color w:val="404040"/>
          <w:sz w:val="20"/>
          <w:szCs w:val="20"/>
        </w:rPr>
        <w:t xml:space="preserve">Kelas 3 — Data Pribadi Umum: nama, alamat, kontak, pekerjaan</w:t>
      </w:r>
    </w:p>
    <w:p>
      <w:pPr>
        <w:pStyle w:val="ListParagraph"/>
        <w:numPr>
          <w:ilvl w:val="0"/>
          <w:numId w:val="2"/>
        </w:numPr>
        <w:spacing w:before="40" w:after="40"/>
      </w:pPr>
      <w:r>
        <w:rPr>
          <w:rFonts w:ascii="Arial" w:cs="Arial" w:eastAsia="Arial" w:hAnsi="Arial"/>
          <w:color w:val="404040"/>
          <w:sz w:val="20"/>
          <w:szCs w:val="20"/>
        </w:rPr>
        <w:t xml:space="preserve">Kelas 4 — Data Anonim/Agregat: data yang tidak dapat mengidentifikasi individu</w:t>
      </w:r>
    </w:p>
    <w:p>
      <w:pPr>
        <w:spacing w:before="80" w:after="0"/>
      </w:pPr>
      <w:r>
        <w:t xml:space="preserve"/>
      </w:r>
    </w:p>
    <w:p>
      <w:pPr>
        <w:pStyle w:val="Heading2"/>
        <w:spacing w:before="220" w:after="100"/>
      </w:pPr>
      <w:r>
        <w:rPr>
          <w:rFonts w:ascii="Arial" w:cs="Arial" w:eastAsia="Arial" w:hAnsi="Arial"/>
          <w:b/>
          <w:bCs/>
          <w:color w:val="2563A8"/>
          <w:sz w:val="26"/>
          <w:szCs w:val="26"/>
        </w:rPr>
        <w:t xml:space="preserve">4.2 Sumber Data</w:t>
      </w:r>
    </w:p>
    <w:p>
      <w:pPr>
        <w:pStyle w:val="ListParagraph"/>
        <w:numPr>
          <w:ilvl w:val="0"/>
          <w:numId w:val="2"/>
        </w:numPr>
        <w:spacing w:before="40" w:after="40"/>
      </w:pPr>
      <w:r>
        <w:rPr>
          <w:rFonts w:ascii="Arial" w:cs="Arial" w:eastAsia="Arial" w:hAnsi="Arial"/>
          <w:color w:val="404040"/>
          <w:sz w:val="20"/>
          <w:szCs w:val="20"/>
        </w:rPr>
        <w:t xml:space="preserve">Langsung dari subjek data: formulir SPAJ, aplikasi digital, portal web, Customer Care</w:t>
      </w:r>
    </w:p>
    <w:p>
      <w:pPr>
        <w:pStyle w:val="ListParagraph"/>
        <w:numPr>
          <w:ilvl w:val="0"/>
          <w:numId w:val="2"/>
        </w:numPr>
        <w:spacing w:before="40" w:after="40"/>
      </w:pPr>
      <w:r>
        <w:rPr>
          <w:rFonts w:ascii="Arial" w:cs="Arial" w:eastAsia="Arial" w:hAnsi="Arial"/>
          <w:color w:val="404040"/>
          <w:sz w:val="20"/>
          <w:szCs w:val="20"/>
        </w:rPr>
        <w:t xml:space="preserve">Dari agen: data nasabah yang dikumpulkan dalam proses penjualan</w:t>
      </w:r>
    </w:p>
    <w:p>
      <w:pPr>
        <w:pStyle w:val="ListParagraph"/>
        <w:numPr>
          <w:ilvl w:val="0"/>
          <w:numId w:val="2"/>
        </w:numPr>
        <w:spacing w:before="40" w:after="40"/>
      </w:pPr>
      <w:r>
        <w:rPr>
          <w:rFonts w:ascii="Arial" w:cs="Arial" w:eastAsia="Arial" w:hAnsi="Arial"/>
          <w:color w:val="404040"/>
          <w:sz w:val="20"/>
          <w:szCs w:val="20"/>
        </w:rPr>
        <w:t xml:space="preserve">Dari pihak ketiga: dokter panel, fasilitas kesehatan, reasuradur, Dukcapil (verifikasi e-KYC)</w:t>
      </w:r>
    </w:p>
    <w:p>
      <w:pPr>
        <w:pStyle w:val="ListParagraph"/>
        <w:numPr>
          <w:ilvl w:val="0"/>
          <w:numId w:val="2"/>
        </w:numPr>
        <w:spacing w:before="40" w:after="40"/>
      </w:pPr>
      <w:r>
        <w:rPr>
          <w:rFonts w:ascii="Arial" w:cs="Arial" w:eastAsia="Arial" w:hAnsi="Arial"/>
          <w:color w:val="404040"/>
          <w:sz w:val="20"/>
          <w:szCs w:val="20"/>
        </w:rPr>
        <w:t xml:space="preserve">Dari sistem internal: data yang dihasilkan dari interaksi nasabah dengan layanan ELI</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5. Dasar Hukum Pemrosesan</w:t>
      </w:r>
    </w:p>
    <w:p>
      <w:pPr>
        <w:spacing w:before="60" w:after="60"/>
      </w:pPr>
      <w:r>
        <w:rPr>
          <w:rFonts w:ascii="Arial" w:cs="Arial" w:eastAsia="Arial" w:hAnsi="Arial"/>
          <w:color w:val="404040"/>
          <w:sz w:val="20"/>
          <w:szCs w:val="20"/>
        </w:rPr>
        <w:t xml:space="preserve">Selengkapnya diatur dalam Kebijakan Dasar Pemrosesan (ELI-PDPISO27701-006). Ringkasan: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Dasar Hukum</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Kapan Digunakan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Contoh Aktivitas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Persetujuan (Pasal 20a)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Pemasaran, analitik opsional, berbagi data non-esensial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Email marketing, program loyalitas, riset produk</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Kontrak (Pasal 20b)</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Pelaksanaan polis asuransi jiwa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Penerbitan polis, proses klaim, pembayaran manfaat</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Kewajiban Hukum (Pasal 20c)</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Pelaporan ke regulator, program APU-PPT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Pelaporan OJK, pelaporan pajak, identifikasi nasabah</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Kepentingan Vital (Pasal 20d)</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Situasi darurat medis atau keselamatan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Klaim darurat tanpa consent, koordinasi emergensi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Kepentingan Sah (Pasal 20e)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Pencegahan fraud, keamanan sistem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Deteksi fraud, monitoring keamanan TI</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6. Hak-Hak Subjek Data</w:t>
      </w:r>
    </w:p>
    <w:p>
      <w:pPr>
        <w:spacing w:before="60" w:after="60"/>
      </w:pPr>
      <w:r>
        <w:rPr>
          <w:rFonts w:ascii="Arial" w:cs="Arial" w:eastAsia="Arial" w:hAnsi="Arial"/>
          <w:color w:val="404040"/>
          <w:sz w:val="20"/>
          <w:szCs w:val="20"/>
        </w:rPr>
        <w:t xml:space="preserve">PT Equity Life Indonesia menghormati dan memfasilitasi pelaksanaan seluruh hak yang diberikan oleh UU PDP kepada subjek data. Mekanisme pemenuhan hak diatur dalam prosedur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300"/>
        <w:gridCol w:w="18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Hak</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Dasar Hukum UU PDP</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Prosedur Referensi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SLA Respons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Akses &amp; Salinan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5–8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ELI-PDPISO27701-009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3x24 jam</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Koreksi Data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9</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ELI-PDPISO27701-010</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3x24 jam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Penghapusan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10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ELI-PDPISO27701-011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14 hari kerja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Pembatasan Pemrosesan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11</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ELI-PDPISO27701-011</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7 hari kerja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Portabilitas Data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12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ELI-PDPISO27701-012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14 hari kerja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Keberatan Pemrosesan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13</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ELI-PDPISO27701-013</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14 hari kerja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Anti Keputusan Otomatis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14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ELI-PDPISO27701-013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14 hari kerja</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Penarikan Persetujuan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Pasal 22</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ELI-PDPISO27701-008</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3x24 jam</w:t>
            </w:r>
          </w:p>
        </w:tc>
      </w:tr>
    </w:tbl>
    <w:p>
      <w:pPr>
        <w:spacing w:before="60" w:after="60"/>
      </w:pPr>
      <w:r>
        <w:rPr>
          <w:rFonts w:ascii="Arial" w:cs="Arial" w:eastAsia="Arial" w:hAnsi="Arial"/>
          <w:color w:val="404040"/>
          <w:sz w:val="20"/>
          <w:szCs w:val="20"/>
        </w:rPr>
        <w:t xml:space="preserve">Kontak DPO untuk pemenuhan hak: privacy@equitylife.co.id atau kunjungi kantor PT Equity Life Indonesia terdekat.</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7. Pembagian Data kepada Pihak Ketiga</w:t>
      </w:r>
    </w:p>
    <w:p>
      <w:pPr>
        <w:spacing w:before="60" w:after="60"/>
      </w:pPr>
      <w:r>
        <w:rPr>
          <w:rFonts w:ascii="Arial" w:cs="Arial" w:eastAsia="Arial" w:hAnsi="Arial"/>
          <w:color w:val="404040"/>
          <w:sz w:val="20"/>
          <w:szCs w:val="20"/>
        </w:rPr>
        <w:t xml:space="preserve">PT Equity Life Indonesia hanya membagikan data pribadi kepada pihak ketiga dalam kondisi berikut:</w:t>
      </w:r>
    </w:p>
    <w:p>
      <w:pPr>
        <w:pStyle w:val="ListParagraph"/>
        <w:numPr>
          <w:ilvl w:val="0"/>
          <w:numId w:val="2"/>
        </w:numPr>
        <w:spacing w:before="40" w:after="40"/>
      </w:pPr>
      <w:r>
        <w:rPr>
          <w:rFonts w:ascii="Arial" w:cs="Arial" w:eastAsia="Arial" w:hAnsi="Arial"/>
          <w:color w:val="404040"/>
          <w:sz w:val="20"/>
          <w:szCs w:val="20"/>
        </w:rPr>
        <w:t xml:space="preserve">Vendor/prosesor yang telah menandatangani DPA (ELI-PDPISO27701-015) dan terdaftar dalam Register Vendor (ELI-PDPISO27701-029)</w:t>
      </w:r>
    </w:p>
    <w:p>
      <w:pPr>
        <w:pStyle w:val="ListParagraph"/>
        <w:numPr>
          <w:ilvl w:val="0"/>
          <w:numId w:val="2"/>
        </w:numPr>
        <w:spacing w:before="40" w:after="40"/>
      </w:pPr>
      <w:r>
        <w:rPr>
          <w:rFonts w:ascii="Arial" w:cs="Arial" w:eastAsia="Arial" w:hAnsi="Arial"/>
          <w:color w:val="404040"/>
          <w:sz w:val="20"/>
          <w:szCs w:val="20"/>
        </w:rPr>
        <w:t xml:space="preserve">Reasuradur yang diperlukan untuk pengelolaan risiko reasuransi berdasarkan kontrak reasuransi</w:t>
      </w:r>
    </w:p>
    <w:p>
      <w:pPr>
        <w:pStyle w:val="ListParagraph"/>
        <w:numPr>
          <w:ilvl w:val="0"/>
          <w:numId w:val="2"/>
        </w:numPr>
        <w:spacing w:before="40" w:after="40"/>
      </w:pPr>
      <w:r>
        <w:rPr>
          <w:rFonts w:ascii="Arial" w:cs="Arial" w:eastAsia="Arial" w:hAnsi="Arial"/>
          <w:color w:val="404040"/>
          <w:sz w:val="20"/>
          <w:szCs w:val="20"/>
        </w:rPr>
        <w:t xml:space="preserve">Regulator (OJK, PPATK, DJP) berdasarkan kewajiban hukum</w:t>
      </w:r>
    </w:p>
    <w:p>
      <w:pPr>
        <w:pStyle w:val="ListParagraph"/>
        <w:numPr>
          <w:ilvl w:val="0"/>
          <w:numId w:val="2"/>
        </w:numPr>
        <w:spacing w:before="40" w:after="40"/>
      </w:pPr>
      <w:r>
        <w:rPr>
          <w:rFonts w:ascii="Arial" w:cs="Arial" w:eastAsia="Arial" w:hAnsi="Arial"/>
          <w:color w:val="404040"/>
          <w:sz w:val="20"/>
          <w:szCs w:val="20"/>
        </w:rPr>
        <w:t xml:space="preserve">Penegak hukum berdasarkan putusan pengadilan atau perintah resmi</w:t>
      </w:r>
    </w:p>
    <w:p>
      <w:pPr>
        <w:pStyle w:val="ListParagraph"/>
        <w:numPr>
          <w:ilvl w:val="0"/>
          <w:numId w:val="2"/>
        </w:numPr>
        <w:spacing w:before="40" w:after="40"/>
      </w:pPr>
      <w:r>
        <w:rPr>
          <w:rFonts w:ascii="Arial" w:cs="Arial" w:eastAsia="Arial" w:hAnsi="Arial"/>
          <w:color w:val="404040"/>
          <w:sz w:val="20"/>
          <w:szCs w:val="20"/>
        </w:rPr>
        <w:t xml:space="preserve">Mitra bisnis (bank, broker) berdasarkan perjanjian kerjasama yang mencakup klausul perlindungan data</w:t>
      </w:r>
    </w:p>
    <w:p>
      <w:pPr>
        <w:pBdr>
          <w:left w:val="single" w:color="375623" w:sz="16" w:space="8"/>
        </w:pBdr>
        <w:shd w:fill="E2EFDA" w:val="clear"/>
        <w:spacing w:before="80" w:after="80"/>
        <w:ind w:left="360"/>
      </w:pPr>
      <w:r>
        <w:rPr>
          <w:rFonts w:ascii="Arial" w:cs="Arial" w:eastAsia="Arial" w:hAnsi="Arial"/>
          <w:i/>
          <w:iCs/>
          <w:color w:val="404040"/>
          <w:sz w:val="20"/>
          <w:szCs w:val="20"/>
        </w:rPr>
        <w:t xml:space="preserve">PT Equity Life Indonesia tidak menjual data pribadi nasabah kepada pihak ketiga untuk tujuan komersial apapun.</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8. Keamanan Data</w:t>
      </w:r>
    </w:p>
    <w:p>
      <w:pPr>
        <w:spacing w:before="60" w:after="60"/>
      </w:pPr>
      <w:r>
        <w:rPr>
          <w:rFonts w:ascii="Arial" w:cs="Arial" w:eastAsia="Arial" w:hAnsi="Arial"/>
          <w:color w:val="404040"/>
          <w:sz w:val="20"/>
          <w:szCs w:val="20"/>
        </w:rPr>
        <w:t xml:space="preserve">Data pribadi dilindungi dengan kontrol keamanan berlapis yang mencakup:</w:t>
      </w:r>
    </w:p>
    <w:p>
      <w:pPr>
        <w:pStyle w:val="ListParagraph"/>
        <w:numPr>
          <w:ilvl w:val="0"/>
          <w:numId w:val="2"/>
        </w:numPr>
        <w:spacing w:before="40" w:after="40"/>
      </w:pPr>
      <w:r>
        <w:rPr>
          <w:rFonts w:ascii="Arial" w:cs="Arial" w:eastAsia="Arial" w:hAnsi="Arial"/>
          <w:color w:val="404040"/>
          <w:sz w:val="20"/>
          <w:szCs w:val="20"/>
        </w:rPr>
        <w:t xml:space="preserve">Teknis: enkripsi at rest dan in transit, kontrol akses berbasis least privilege, MFA untuk akses data sensitif, pseudonimisasi dan anonimisasi</w:t>
      </w:r>
    </w:p>
    <w:p>
      <w:pPr>
        <w:pStyle w:val="ListParagraph"/>
        <w:numPr>
          <w:ilvl w:val="0"/>
          <w:numId w:val="2"/>
        </w:numPr>
        <w:spacing w:before="40" w:after="40"/>
      </w:pPr>
      <w:r>
        <w:rPr>
          <w:rFonts w:ascii="Arial" w:cs="Arial" w:eastAsia="Arial" w:hAnsi="Arial"/>
          <w:color w:val="404040"/>
          <w:sz w:val="20"/>
          <w:szCs w:val="20"/>
        </w:rPr>
        <w:t xml:space="preserve">Organisasi: pelatihan privacy awareness tahunan, kebijakan keamanan informasi, pemantauan dan audit berkala</w:t>
      </w:r>
    </w:p>
    <w:p>
      <w:pPr>
        <w:pStyle w:val="ListParagraph"/>
        <w:numPr>
          <w:ilvl w:val="0"/>
          <w:numId w:val="2"/>
        </w:numPr>
        <w:spacing w:before="40" w:after="40"/>
      </w:pPr>
      <w:r>
        <w:rPr>
          <w:rFonts w:ascii="Arial" w:cs="Arial" w:eastAsia="Arial" w:hAnsi="Arial"/>
          <w:color w:val="404040"/>
          <w:sz w:val="20"/>
          <w:szCs w:val="20"/>
        </w:rPr>
        <w:t xml:space="preserve">Kontraktual: DPA dengan seluruh prosesor, klausul kerahasiaan dalam kontrak karyawan dan agen</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9. Transfer Data Internasional</w:t>
      </w:r>
    </w:p>
    <w:p>
      <w:pPr>
        <w:spacing w:before="60" w:after="60"/>
      </w:pPr>
      <w:r>
        <w:rPr>
          <w:rFonts w:ascii="Arial" w:cs="Arial" w:eastAsia="Arial" w:hAnsi="Arial"/>
          <w:color w:val="404040"/>
          <w:sz w:val="20"/>
          <w:szCs w:val="20"/>
        </w:rPr>
        <w:t xml:space="preserve">Transfer data pribadi ke luar Indonesia dilakukan dengan ketentuan:</w:t>
      </w:r>
    </w:p>
    <w:p>
      <w:pPr>
        <w:pStyle w:val="ListParagraph"/>
        <w:numPr>
          <w:ilvl w:val="0"/>
          <w:numId w:val="2"/>
        </w:numPr>
        <w:spacing w:before="40" w:after="40"/>
      </w:pPr>
      <w:r>
        <w:rPr>
          <w:rFonts w:ascii="Arial" w:cs="Arial" w:eastAsia="Arial" w:hAnsi="Arial"/>
          <w:color w:val="404040"/>
          <w:sz w:val="20"/>
          <w:szCs w:val="20"/>
        </w:rPr>
        <w:t xml:space="preserve">Tujuan transfer hanya kepada negara dengan tingkat perlindungan data yang setara atau lebih tinggi</w:t>
      </w:r>
    </w:p>
    <w:p>
      <w:pPr>
        <w:pStyle w:val="ListParagraph"/>
        <w:numPr>
          <w:ilvl w:val="0"/>
          <w:numId w:val="2"/>
        </w:numPr>
        <w:spacing w:before="40" w:after="40"/>
      </w:pPr>
      <w:r>
        <w:rPr>
          <w:rFonts w:ascii="Arial" w:cs="Arial" w:eastAsia="Arial" w:hAnsi="Arial"/>
          <w:color w:val="404040"/>
          <w:sz w:val="20"/>
          <w:szCs w:val="20"/>
        </w:rPr>
        <w:t xml:space="preserve">Jika negara tujuan belum memiliki perlindungan yang setara, wajib menggunakan Standard Contractual Clauses (SCC)</w:t>
      </w:r>
    </w:p>
    <w:p>
      <w:pPr>
        <w:pStyle w:val="ListParagraph"/>
        <w:numPr>
          <w:ilvl w:val="0"/>
          <w:numId w:val="2"/>
        </w:numPr>
        <w:spacing w:before="40" w:after="40"/>
      </w:pPr>
      <w:r>
        <w:rPr>
          <w:rFonts w:ascii="Arial" w:cs="Arial" w:eastAsia="Arial" w:hAnsi="Arial"/>
          <w:color w:val="404040"/>
          <w:sz w:val="20"/>
          <w:szCs w:val="20"/>
        </w:rPr>
        <w:t xml:space="preserve">Seluruh transfer internasional terdokumentasi dalam RoPA (ELI-PDPISO27701-005)</w:t>
      </w:r>
    </w:p>
    <w:p>
      <w:pPr>
        <w:pStyle w:val="ListParagraph"/>
        <w:numPr>
          <w:ilvl w:val="0"/>
          <w:numId w:val="2"/>
        </w:numPr>
        <w:spacing w:before="40" w:after="40"/>
      </w:pPr>
      <w:r>
        <w:rPr>
          <w:rFonts w:ascii="Arial" w:cs="Arial" w:eastAsia="Arial" w:hAnsi="Arial"/>
          <w:color w:val="404040"/>
          <w:sz w:val="20"/>
          <w:szCs w:val="20"/>
        </w:rPr>
        <w:t xml:space="preserve">Detail ketentuan diatur dalam Kebijakan Transfer Data Lintas Batas (ELI-PDPISO27701-020)</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10. Retensi &amp; Penghapusan Data</w:t>
      </w:r>
    </w:p>
    <w:p>
      <w:pPr>
        <w:spacing w:before="60" w:after="60"/>
      </w:pPr>
      <w:r>
        <w:rPr>
          <w:rFonts w:ascii="Arial" w:cs="Arial" w:eastAsia="Arial" w:hAnsi="Arial"/>
          <w:color w:val="404040"/>
          <w:sz w:val="20"/>
          <w:szCs w:val="20"/>
        </w:rPr>
        <w:t xml:space="preserve">Data pribadi disimpan sesuai jadwal retensi yang ditetapkan dalam Kebijakan Retensi Data (ELI-PDPISO27701-018). Ringkasan:</w:t>
      </w:r>
    </w:p>
    <w:p>
      <w:pPr>
        <w:pStyle w:val="ListParagraph"/>
        <w:numPr>
          <w:ilvl w:val="0"/>
          <w:numId w:val="2"/>
        </w:numPr>
        <w:spacing w:before="40" w:after="40"/>
      </w:pPr>
      <w:r>
        <w:rPr>
          <w:rFonts w:ascii="Arial" w:cs="Arial" w:eastAsia="Arial" w:hAnsi="Arial"/>
          <w:color w:val="404040"/>
          <w:sz w:val="20"/>
          <w:szCs w:val="20"/>
        </w:rPr>
        <w:t xml:space="preserve">Data polis aktif: selama polis berlaku + 5 tahun setelah berakhir</w:t>
      </w:r>
    </w:p>
    <w:p>
      <w:pPr>
        <w:pStyle w:val="ListParagraph"/>
        <w:numPr>
          <w:ilvl w:val="0"/>
          <w:numId w:val="2"/>
        </w:numPr>
        <w:spacing w:before="40" w:after="40"/>
      </w:pPr>
      <w:r>
        <w:rPr>
          <w:rFonts w:ascii="Arial" w:cs="Arial" w:eastAsia="Arial" w:hAnsi="Arial"/>
          <w:color w:val="404040"/>
          <w:sz w:val="20"/>
          <w:szCs w:val="20"/>
        </w:rPr>
        <w:t xml:space="preserve">Data klaim: 10 tahun setelah penyelesaian klaim</w:t>
      </w:r>
    </w:p>
    <w:p>
      <w:pPr>
        <w:pStyle w:val="ListParagraph"/>
        <w:numPr>
          <w:ilvl w:val="0"/>
          <w:numId w:val="2"/>
        </w:numPr>
        <w:spacing w:before="40" w:after="40"/>
      </w:pPr>
      <w:r>
        <w:rPr>
          <w:rFonts w:ascii="Arial" w:cs="Arial" w:eastAsia="Arial" w:hAnsi="Arial"/>
          <w:color w:val="404040"/>
          <w:sz w:val="20"/>
          <w:szCs w:val="20"/>
        </w:rPr>
        <w:t xml:space="preserve">Data e-KYC dan biometrik: 5 tahun setelah berakhirnya hubungan</w:t>
      </w:r>
    </w:p>
    <w:p>
      <w:pPr>
        <w:pStyle w:val="ListParagraph"/>
        <w:numPr>
          <w:ilvl w:val="0"/>
          <w:numId w:val="2"/>
        </w:numPr>
        <w:spacing w:before="40" w:after="40"/>
      </w:pPr>
      <w:r>
        <w:rPr>
          <w:rFonts w:ascii="Arial" w:cs="Arial" w:eastAsia="Arial" w:hAnsi="Arial"/>
          <w:color w:val="404040"/>
          <w:sz w:val="20"/>
          <w:szCs w:val="20"/>
        </w:rPr>
        <w:t xml:space="preserve">Data karyawan: selama masa kerja + 5 tahun</w:t>
      </w:r>
    </w:p>
    <w:p>
      <w:pPr>
        <w:pStyle w:val="ListParagraph"/>
        <w:numPr>
          <w:ilvl w:val="0"/>
          <w:numId w:val="2"/>
        </w:numPr>
        <w:spacing w:before="40" w:after="40"/>
      </w:pPr>
      <w:r>
        <w:rPr>
          <w:rFonts w:ascii="Arial" w:cs="Arial" w:eastAsia="Arial" w:hAnsi="Arial"/>
          <w:color w:val="404040"/>
          <w:sz w:val="20"/>
          <w:szCs w:val="20"/>
        </w:rPr>
        <w:t xml:space="preserve">Data pemasaran: 3 tahun atau sampai opt-out</w:t>
      </w:r>
    </w:p>
    <w:p>
      <w:pPr>
        <w:pStyle w:val="ListParagraph"/>
        <w:numPr>
          <w:ilvl w:val="0"/>
          <w:numId w:val="2"/>
        </w:numPr>
        <w:spacing w:before="40" w:after="40"/>
      </w:pPr>
      <w:r>
        <w:rPr>
          <w:rFonts w:ascii="Arial" w:cs="Arial" w:eastAsia="Arial" w:hAnsi="Arial"/>
          <w:color w:val="404040"/>
          <w:sz w:val="20"/>
          <w:szCs w:val="20"/>
        </w:rPr>
        <w:t xml:space="preserve">Data tidak boleh disimpan melebihi batas yang ditetapkan kecuali ada kewajiban hukum</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11. Penanganan Insiden Kebocoran Data</w:t>
      </w:r>
    </w:p>
    <w:p>
      <w:pPr>
        <w:spacing w:before="60" w:after="60"/>
      </w:pPr>
      <w:r>
        <w:rPr>
          <w:rFonts w:ascii="Arial" w:cs="Arial" w:eastAsia="Arial" w:hAnsi="Arial"/>
          <w:color w:val="404040"/>
          <w:sz w:val="20"/>
          <w:szCs w:val="20"/>
        </w:rPr>
        <w:t xml:space="preserve">Prosedur lengkap diatur dalam ELI-PDPISO27701-017. Ketentuan utama:</w:t>
      </w:r>
    </w:p>
    <w:p>
      <w:pPr>
        <w:pStyle w:val="ListParagraph"/>
        <w:numPr>
          <w:ilvl w:val="0"/>
          <w:numId w:val="2"/>
        </w:numPr>
        <w:spacing w:before="40" w:after="40"/>
      </w:pPr>
      <w:r>
        <w:rPr>
          <w:rFonts w:ascii="Arial" w:cs="Arial" w:eastAsia="Arial" w:hAnsi="Arial"/>
          <w:color w:val="404040"/>
          <w:sz w:val="20"/>
          <w:szCs w:val="20"/>
        </w:rPr>
        <w:t xml:space="preserve">Setiap personil yang menemukan atau menduga insiden kebocoran WAJIB melaporkan ke DPO dalam 1x24 jam</w:t>
      </w:r>
    </w:p>
    <w:p>
      <w:pPr>
        <w:pStyle w:val="ListParagraph"/>
        <w:numPr>
          <w:ilvl w:val="0"/>
          <w:numId w:val="2"/>
        </w:numPr>
        <w:spacing w:before="40" w:after="40"/>
      </w:pPr>
      <w:r>
        <w:rPr>
          <w:rFonts w:ascii="Arial" w:cs="Arial" w:eastAsia="Arial" w:hAnsi="Arial"/>
          <w:color w:val="404040"/>
          <w:sz w:val="20"/>
          <w:szCs w:val="20"/>
        </w:rPr>
        <w:t xml:space="preserve">PT Equity Life Indonesia wajib menotifikasi OJK dalam 14 hari kalender setelah insiden terkonfirmasi</w:t>
      </w:r>
    </w:p>
    <w:p>
      <w:pPr>
        <w:pStyle w:val="ListParagraph"/>
        <w:numPr>
          <w:ilvl w:val="0"/>
          <w:numId w:val="2"/>
        </w:numPr>
        <w:spacing w:before="40" w:after="40"/>
      </w:pPr>
      <w:r>
        <w:rPr>
          <w:rFonts w:ascii="Arial" w:cs="Arial" w:eastAsia="Arial" w:hAnsi="Arial"/>
          <w:color w:val="404040"/>
          <w:sz w:val="20"/>
          <w:szCs w:val="20"/>
        </w:rPr>
        <w:t xml:space="preserve">Subjek data yang terdampak dinotifikasi sesuai mekanisme dan batas waktu yang ditetapkan</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12. Struktur Tata Kelola Privasi</w:t>
      </w:r>
    </w:p>
    <w:p>
      <w:pPr>
        <w:pStyle w:val="ListParagraph"/>
        <w:numPr>
          <w:ilvl w:val="0"/>
          <w:numId w:val="2"/>
        </w:numPr>
        <w:spacing w:before="40" w:after="40"/>
      </w:pPr>
      <w:r>
        <w:rPr>
          <w:rFonts w:ascii="Arial" w:cs="Arial" w:eastAsia="Arial" w:hAnsi="Arial"/>
          <w:color w:val="404040"/>
          <w:sz w:val="20"/>
          <w:szCs w:val="20"/>
        </w:rPr>
        <w:t xml:space="preserve">Data Protection Officer (DPO): bertanggung jawab atas pengawasan kepatuhan dan menjadi kontak utama regulator</w:t>
      </w:r>
    </w:p>
    <w:p>
      <w:pPr>
        <w:pStyle w:val="ListParagraph"/>
        <w:numPr>
          <w:ilvl w:val="0"/>
          <w:numId w:val="2"/>
        </w:numPr>
        <w:spacing w:before="40" w:after="40"/>
      </w:pPr>
      <w:r>
        <w:rPr>
          <w:rFonts w:ascii="Arial" w:cs="Arial" w:eastAsia="Arial" w:hAnsi="Arial"/>
          <w:color w:val="404040"/>
          <w:sz w:val="20"/>
          <w:szCs w:val="20"/>
        </w:rPr>
        <w:t xml:space="preserve">Privacy Champions: perwakilan privasi di setiap Direktorat</w:t>
      </w:r>
    </w:p>
    <w:p>
      <w:pPr>
        <w:pStyle w:val="ListParagraph"/>
        <w:numPr>
          <w:ilvl w:val="0"/>
          <w:numId w:val="2"/>
        </w:numPr>
        <w:spacing w:before="40" w:after="40"/>
      </w:pPr>
      <w:r>
        <w:rPr>
          <w:rFonts w:ascii="Arial" w:cs="Arial" w:eastAsia="Arial" w:hAnsi="Arial"/>
          <w:color w:val="404040"/>
          <w:sz w:val="20"/>
          <w:szCs w:val="20"/>
        </w:rPr>
        <w:t xml:space="preserve">Komite Pengelola TI: pengawasan strategis program privasi</w:t>
      </w:r>
    </w:p>
    <w:p>
      <w:pPr>
        <w:pStyle w:val="ListParagraph"/>
        <w:numPr>
          <w:ilvl w:val="0"/>
          <w:numId w:val="2"/>
        </w:numPr>
        <w:spacing w:before="40" w:after="40"/>
      </w:pPr>
      <w:r>
        <w:rPr>
          <w:rFonts w:ascii="Arial" w:cs="Arial" w:eastAsia="Arial" w:hAnsi="Arial"/>
          <w:color w:val="404040"/>
          <w:sz w:val="20"/>
          <w:szCs w:val="20"/>
        </w:rPr>
        <w:t xml:space="preserve">Internal Audit: audit kepatuhan PIMS tahunan</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13. Pembaruan Kebijakan</w:t>
      </w:r>
    </w:p>
    <w:p>
      <w:pPr>
        <w:spacing w:before="60" w:after="60"/>
      </w:pPr>
      <w:r>
        <w:rPr>
          <w:rFonts w:ascii="Arial" w:cs="Arial" w:eastAsia="Arial" w:hAnsi="Arial"/>
          <w:color w:val="404040"/>
          <w:sz w:val="20"/>
          <w:szCs w:val="20"/>
        </w:rPr>
        <w:t xml:space="preserve">Kebijakan ini di-review minimal satu kali per tahun atau ketika terjadi perubahan material pada regulasi, operasional, atau risiko privasi. Versi terkini selalu tersedia di intranet perusahaan dan dikirimkan kepada seluruh karyawan saat ada pembaruan.</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14. Rekam Revisi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5900"/>
        <w:gridCol w:w="17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Tanggal</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Deskripsi Perubahan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Oleh</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Maret 2026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Penerbitan pertama — Master Privacy Policy terintegrasi UU PDP &amp; ISO 27701</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DPO / IT Governance</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15.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56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56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56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Privacy Officer</w:t>
            </w:r>
          </w:p>
          <w:p>
            <w:pPr>
              <w:jc w:val="center"/>
            </w:pPr>
            <w:r>
              <w:rPr>
                <w:rFonts w:ascii="Arial" w:cs="Arial" w:eastAsia="Arial" w:hAnsi="Arial"/>
                <w:color w:val="666666"/>
                <w:sz w:val="18"/>
                <w:szCs w:val="18"/>
              </w:rPr>
              <w:t xml:space="preserve">IT Security &amp; Governance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Legal Counsel</w:t>
            </w:r>
          </w:p>
          <w:p>
            <w:pPr>
              <w:jc w:val="center"/>
            </w:pPr>
            <w:r>
              <w:rPr>
                <w:rFonts w:ascii="Arial" w:cs="Arial" w:eastAsia="Arial" w:hAnsi="Arial"/>
                <w:color w:val="666666"/>
                <w:sz w:val="18"/>
                <w:szCs w:val="18"/>
              </w:rPr>
              <w:t xml:space="preserve">Legal &amp; Compliance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President Director</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Kebijakan Privasi Terpadu (Master Privacy Policy)</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ELI-PDPISO27701-033</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2026-03-21T17:22:31.989Z</dcterms:created>
  <dcterms:modified xsi:type="dcterms:W3CDTF">2026-03-21T17:22:31.990Z</dcterms:modified>
</cp:coreProperties>
</file>

<file path=docProps/custom.xml><?xml version="1.0" encoding="utf-8"?>
<Properties xmlns="http://schemas.openxmlformats.org/officeDocument/2006/custom-properties" xmlns:vt="http://schemas.openxmlformats.org/officeDocument/2006/docPropsVTypes"/>
</file>