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1A3C6B" w:sz="60" w:space="0"/>
        </w:pBdr>
        <w:shd w:fill="1A3C6B" w:val="clear"/>
        <w:spacing w:before="0" w:after="0"/>
      </w:pPr>
      <w:r>
        <w:rPr>
          <w:sz w:val="60"/>
          <w:szCs w:val="60"/>
        </w:rPr>
        <w:t xml:space="preserve"/>
      </w:r>
    </w:p>
    <w:p>
      <w:pPr>
        <w:spacing w:before="520" w:after="0"/>
      </w:pPr>
      <w:r>
        <w:t xml:space="preserve"/>
      </w:r>
    </w:p>
    <w:p>
      <w:pPr>
        <w:spacing w:before="0" w:after="60"/>
        <w:jc w:val="center"/>
      </w:pPr>
      <w:r>
        <w:rPr>
          <w:rFonts w:ascii="Arial" w:cs="Arial" w:eastAsia="Arial" w:hAnsi="Arial"/>
          <w:b/>
          <w:bCs/>
          <w:color w:val="1A3C6B"/>
          <w:sz w:val="32"/>
          <w:szCs w:val="32"/>
        </w:rPr>
        <w:t xml:space="preserve">PT EQUITY LIFE INDONESIA</w:t>
      </w:r>
    </w:p>
    <w:p>
      <w:pPr>
        <w:spacing w:before="0" w:after="36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Technology &amp; Information Directorate</w:t>
      </w:r>
    </w:p>
    <w:p>
      <w:pPr>
        <w:spacing w:before="160" w:after="0"/>
      </w:pPr>
      <w:r>
        <w:t xml:space="preserve"/>
      </w:r>
    </w:p>
    <w:p>
      <w:pPr>
        <w:spacing w:before="0" w:after="100"/>
        <w:jc w:val="center"/>
      </w:pPr>
      <w:r>
        <w:rPr>
          <w:rFonts w:ascii="Arial" w:cs="Arial" w:eastAsia="Arial" w:hAnsi="Arial"/>
          <w:b/>
          <w:bCs/>
          <w:color w:val="C8A84B"/>
          <w:sz w:val="22"/>
          <w:szCs w:val="22"/>
        </w:rPr>
        <w:t xml:space="preserve">DASHBOARD &amp; PELAPORAN</w:t>
      </w:r>
    </w:p>
    <w:p>
      <w:pPr>
        <w:pBdr>
          <w:top w:val="single" w:color="C8A84B" w:sz="4" w:space="4"/>
          <w:bottom w:val="single" w:color="C8A84B" w:sz="4" w:space="4"/>
        </w:pBdr>
        <w:spacing w:before="0" w:after="280"/>
        <w:jc w:val="center"/>
      </w:pPr>
      <w:r>
        <w:rPr>
          <w:rFonts w:ascii="Arial" w:cs="Arial" w:eastAsia="Arial" w:hAnsi="Arial"/>
          <w:b/>
          <w:bCs/>
          <w:color w:val="1A3C6B"/>
          <w:sz w:val="36"/>
          <w:szCs w:val="36"/>
        </w:rPr>
        <w:t xml:space="preserve">Dashboard KPI Privasi &amp; Kepatuhan UU PDP — Template Laporan</w:t>
      </w:r>
    </w:p>
    <w:p>
      <w:pPr>
        <w:spacing w:before="400" w:after="0"/>
      </w:pPr>
      <w:r>
        <w:t xml:space="preserve"/>
      </w:r>
    </w:p>
    <w:tbl>
      <w:tblPr>
        <w:tblW w:type="dxa" w:w="5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3600"/>
      </w:tblGrid>
      <w:tr>
        <w:tc>
          <w:tcPr>
            <w:tcW w:type="dxa" w:w="2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Kode Dokumen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: ELI-PDPISO27701-040</w:t>
            </w:r>
          </w:p>
        </w:tc>
      </w:tr>
      <w:tr>
        <w:tc>
          <w:tcPr>
            <w:tcW w:type="dxa" w:w="2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Versi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: Versi 1.0</w:t>
            </w:r>
          </w:p>
        </w:tc>
      </w:tr>
      <w:tr>
        <w:tc>
          <w:tcPr>
            <w:tcW w:type="dxa" w:w="2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Tanggal Berlaku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: Maret 2026</w:t>
            </w:r>
          </w:p>
        </w:tc>
      </w:tr>
      <w:tr>
        <w:tc>
          <w:tcPr>
            <w:tcW w:type="dxa" w:w="2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Klasifikasi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20"/>
                <w:szCs w:val="20"/>
              </w:rPr>
              <w:t xml:space="preserve">: RAHASIA — Internal</w:t>
            </w:r>
          </w:p>
        </w:tc>
      </w:tr>
    </w:tbl>
    <w:p>
      <w:pPr>
        <w:spacing w:before="560" w:after="0"/>
      </w:pPr>
      <w:r>
        <w:t xml:space="preserve"/>
      </w:r>
    </w:p>
    <w:p>
      <w:pPr>
        <w:pBdr>
          <w:top w:val="single" w:color="CCCCCC" w:sz="4" w:space="4"/>
        </w:pBdr>
        <w:spacing w:before="0" w:after="0"/>
        <w:jc w:val="center"/>
      </w:pPr>
      <w:r>
        <w:rPr>
          <w:rFonts w:ascii="Arial" w:cs="Arial" w:eastAsia="Arial" w:hAnsi="Arial"/>
          <w:i/>
          <w:iCs/>
          <w:color w:val="666666"/>
          <w:sz w:val="16"/>
          <w:szCs w:val="16"/>
        </w:rPr>
        <w:t xml:space="preserve">© 2026 PT Equity Life Indonesia. Dokumen ini bersifat rahasia dan hanya untuk penggunaan internal.</w:t>
      </w:r>
    </w:p>
    <w:p>
      <w:r>
        <w:br w:type="page"/>
      </w:r>
    </w:p>
    <w:p>
      <w:pPr>
        <w:pBdr>
          <w:left w:val="single" w:color="C8A84B" w:sz="16" w:space="8"/>
        </w:pBdr>
        <w:shd w:fill="FFF9E6" w:val="clear"/>
        <w:spacing w:before="80" w:after="80"/>
        <w:ind w:left="360"/>
      </w:pPr>
      <w:r>
        <w:rPr>
          <w:rFonts w:ascii="Arial" w:cs="Arial" w:eastAsia="Arial" w:hAnsi="Arial"/>
          <w:i/>
          <w:iCs/>
          <w:color w:val="404040"/>
          <w:sz w:val="20"/>
          <w:szCs w:val="20"/>
        </w:rPr>
        <w:t xml:space="preserve">Template ini diisi setiap BULAN oleh DPO dan didistribusikan kepada Direktur T&amp;I, Komite Pengelola TI, dan Komite Manajemen Risiko. Isi dengan data aktual dari sistem monitoring dan log operasional.</w:t>
      </w:r>
    </w:p>
    <w:p>
      <w:pPr>
        <w:spacing w:before="120" w:after="0"/>
      </w:pPr>
      <w:r>
        <w:t xml:space="preserve"/>
      </w:r>
    </w:p>
    <w:p>
      <w:pPr>
        <w:spacing w:before="0" w:after="100"/>
        <w:jc w:val="center"/>
      </w:pPr>
      <w:r>
        <w:rPr>
          <w:rFonts w:ascii="Arial" w:cs="Arial" w:eastAsia="Arial" w:hAnsi="Arial"/>
          <w:b/>
          <w:bCs/>
          <w:color w:val="1A3C6B"/>
          <w:sz w:val="28"/>
          <w:szCs w:val="28"/>
        </w:rPr>
        <w:t xml:space="preserve">PRIVACY &amp; COMPLIANCE KPI DASHBOARD</w:t>
      </w:r>
    </w:p>
    <w:p>
      <w:pPr>
        <w:spacing w:before="0" w:after="80"/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PT Equity Life Indonesia — Periode: [BULAN TAHUN]</w:t>
      </w:r>
    </w:p>
    <w:p>
      <w:pPr>
        <w:pBdr>
          <w:bottom w:val="single" w:color="CCCCCC" w:sz="4" w:space="1"/>
        </w:pBdr>
        <w:spacing w:before="120" w:after="120"/>
      </w:pPr>
      <w:r>
        <w:t xml:space="preserve"/>
      </w:r>
    </w:p>
    <w:p>
      <w:pPr>
        <w:spacing w:before="80" w:after="0"/>
      </w:pPr>
      <w:r>
        <w:t xml:space="preserve"/>
      </w:r>
    </w:p>
    <w:p>
      <w:pPr>
        <w:pStyle w:val="Heading2"/>
        <w:spacing w:before="220" w:after="100"/>
      </w:pPr>
      <w:r>
        <w:rPr>
          <w:rFonts w:ascii="Arial" w:cs="Arial" w:eastAsia="Arial" w:hAnsi="Arial"/>
          <w:b/>
          <w:bCs/>
          <w:color w:val="2563A8"/>
          <w:sz w:val="26"/>
          <w:szCs w:val="26"/>
        </w:rPr>
        <w:t xml:space="preserve">A. Ringkasan Eksekutif — Indikator Utama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9"/>
        <w:gridCol w:w="2409"/>
        <w:gridCol w:w="2409"/>
        <w:gridCol w:w="2409"/>
      </w:tblGrid>
      <w:tr>
        <w:tc>
          <w:tcPr>
            <w:tcBorders>
              <w:top w:val="single" w:color="1A3C6B" w:sz="4"/>
              <w:left w:val="single" w:color="1A3C6B" w:sz="4"/>
              <w:bottom w:val="single" w:color="1A3C6B" w:sz="4"/>
              <w:right w:val="single" w:color="1A3C6B" w:sz="4"/>
            </w:tcBorders>
            <w:shd w:fill="DCE6F1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C6B"/>
                <w:sz w:val="18"/>
                <w:szCs w:val="18"/>
              </w:rPr>
              <w:t xml:space="preserve">Training Completion</w:t>
            </w:r>
          </w:p>
          <w:p>
            <w:pPr>
              <w:spacing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1A3C6B"/>
                <w:sz w:val="40"/>
                <w:szCs w:val="40"/>
              </w:rPr>
              <w:t xml:space="preserve">[x]%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Target: ≥ 95%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16"/>
                <w:szCs w:val="16"/>
              </w:rPr>
              <w:t xml:space="preserve">vs bulan lalu: [±x%]</w:t>
            </w:r>
          </w:p>
        </w:tc>
        <w:tc>
          <w:tcPr>
            <w:tcBorders>
              <w:top w:val="single" w:color="1A3C6B" w:sz="4"/>
              <w:left w:val="single" w:color="1A3C6B" w:sz="4"/>
              <w:bottom w:val="single" w:color="1A3C6B" w:sz="4"/>
              <w:right w:val="single" w:color="1A3C6B" w:sz="4"/>
            </w:tcBorders>
            <w:shd w:fill="EEF4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C6B"/>
                <w:sz w:val="18"/>
                <w:szCs w:val="18"/>
              </w:rPr>
              <w:t xml:space="preserve">SAR Response Rate</w:t>
            </w:r>
          </w:p>
          <w:p>
            <w:pPr>
              <w:spacing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1A3C6B"/>
                <w:sz w:val="40"/>
                <w:szCs w:val="40"/>
              </w:rPr>
              <w:t xml:space="preserve">[x]%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Target: 100%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16"/>
                <w:szCs w:val="16"/>
              </w:rPr>
              <w:t xml:space="preserve">Permintaan bulan ini: [n]</w:t>
            </w:r>
          </w:p>
        </w:tc>
        <w:tc>
          <w:tcPr>
            <w:tcBorders>
              <w:top w:val="single" w:color="1A3C6B" w:sz="4"/>
              <w:left w:val="single" w:color="1A3C6B" w:sz="4"/>
              <w:bottom w:val="single" w:color="1A3C6B" w:sz="4"/>
              <w:right w:val="single" w:color="1A3C6B" w:sz="4"/>
            </w:tcBorders>
            <w:shd w:fill="DCE6F1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C6B"/>
                <w:sz w:val="18"/>
                <w:szCs w:val="18"/>
              </w:rPr>
              <w:t xml:space="preserve">Data Incidents</w:t>
            </w:r>
          </w:p>
          <w:p>
            <w:pPr>
              <w:spacing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1A3C6B"/>
                <w:sz w:val="40"/>
                <w:szCs w:val="40"/>
              </w:rPr>
              <w:t xml:space="preserve">[n]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Target: 0 (L1/L2)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16"/>
                <w:szCs w:val="16"/>
              </w:rPr>
              <w:t xml:space="preserve">Bulan lalu: [n]</w:t>
            </w:r>
          </w:p>
        </w:tc>
        <w:tc>
          <w:tcPr>
            <w:tcBorders>
              <w:top w:val="single" w:color="1A3C6B" w:sz="4"/>
              <w:left w:val="single" w:color="1A3C6B" w:sz="4"/>
              <w:bottom w:val="single" w:color="1A3C6B" w:sz="4"/>
              <w:right w:val="single" w:color="1A3C6B" w:sz="4"/>
            </w:tcBorders>
            <w:shd w:fill="EEF4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C6B"/>
                <w:sz w:val="18"/>
                <w:szCs w:val="18"/>
              </w:rPr>
              <w:t xml:space="preserve">Vendor DPA Coverage</w:t>
            </w:r>
          </w:p>
          <w:p>
            <w:pPr>
              <w:spacing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1A3C6B"/>
                <w:sz w:val="40"/>
                <w:szCs w:val="40"/>
              </w:rPr>
              <w:t xml:space="preserve">[x]%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Target: 100%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16"/>
                <w:szCs w:val="16"/>
              </w:rPr>
              <w:t xml:space="preserve">Vendor pending: [n]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1"/>
        <w:pBdr>
          <w:bottom w:val="single" w:color="1A3C6B" w:sz="8" w:space="4"/>
        </w:pBdr>
        <w:spacing w:before="280" w:after="140"/>
      </w:pPr>
      <w:r>
        <w:rPr>
          <w:rFonts w:ascii="Arial" w:cs="Arial" w:eastAsia="Arial" w:hAnsi="Arial"/>
          <w:b/>
          <w:bCs/>
          <w:color w:val="1A3C6B"/>
          <w:sz w:val="32"/>
          <w:szCs w:val="32"/>
        </w:rPr>
        <w:t xml:space="preserve">1. Pemenuhan Hak Subjek Data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200"/>
        <w:gridCol w:w="1200"/>
        <w:gridCol w:w="1200"/>
        <w:gridCol w:w="1200"/>
        <w:gridCol w:w="2238"/>
      </w:tblGrid>
      <w:tr>
        <w:tc>
          <w:tcPr>
            <w:tcBorders>
              <w:top w:val="single" w:color="1A3C6B" w:sz="4"/>
              <w:left w:val="single" w:color="1A3C6B" w:sz="4"/>
              <w:bottom w:val="single" w:color="1A3C6B" w:sz="4"/>
              <w:right w:val="single" w:color="1A3C6B" w:sz="4"/>
            </w:tcBorders>
            <w:shd w:fill="1A3C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Jenis Permintaan</w:t>
            </w:r>
          </w:p>
        </w:tc>
        <w:tc>
          <w:tcPr>
            <w:tcBorders>
              <w:top w:val="single" w:color="1A3C6B" w:sz="4"/>
              <w:left w:val="single" w:color="1A3C6B" w:sz="4"/>
              <w:bottom w:val="single" w:color="1A3C6B" w:sz="4"/>
              <w:right w:val="single" w:color="1A3C6B" w:sz="4"/>
            </w:tcBorders>
            <w:shd w:fill="1A3C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Diterima</w:t>
            </w:r>
          </w:p>
        </w:tc>
        <w:tc>
          <w:tcPr>
            <w:tcBorders>
              <w:top w:val="single" w:color="1A3C6B" w:sz="4"/>
              <w:left w:val="single" w:color="1A3C6B" w:sz="4"/>
              <w:bottom w:val="single" w:color="1A3C6B" w:sz="4"/>
              <w:right w:val="single" w:color="1A3C6B" w:sz="4"/>
            </w:tcBorders>
            <w:shd w:fill="1A3C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Selesai</w:t>
            </w:r>
          </w:p>
        </w:tc>
        <w:tc>
          <w:tcPr>
            <w:tcBorders>
              <w:top w:val="single" w:color="1A3C6B" w:sz="4"/>
              <w:left w:val="single" w:color="1A3C6B" w:sz="4"/>
              <w:bottom w:val="single" w:color="1A3C6B" w:sz="4"/>
              <w:right w:val="single" w:color="1A3C6B" w:sz="4"/>
            </w:tcBorders>
            <w:shd w:fill="1A3C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Terlambat</w:t>
            </w:r>
          </w:p>
        </w:tc>
        <w:tc>
          <w:tcPr>
            <w:tcBorders>
              <w:top w:val="single" w:color="1A3C6B" w:sz="4"/>
              <w:left w:val="single" w:color="1A3C6B" w:sz="4"/>
              <w:bottom w:val="single" w:color="1A3C6B" w:sz="4"/>
              <w:right w:val="single" w:color="1A3C6B" w:sz="4"/>
            </w:tcBorders>
            <w:shd w:fill="1A3C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Rata-rata Hari</w:t>
            </w:r>
          </w:p>
        </w:tc>
        <w:tc>
          <w:tcPr>
            <w:tcBorders>
              <w:top w:val="single" w:color="1A3C6B" w:sz="4"/>
              <w:left w:val="single" w:color="1A3C6B" w:sz="4"/>
              <w:bottom w:val="single" w:color="1A3C6B" w:sz="4"/>
              <w:right w:val="single" w:color="1A3C6B" w:sz="4"/>
            </w:tcBorders>
            <w:shd w:fill="1A3C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Catatan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Hak Akses (SAR)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[n]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[n]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[n]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[x]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[Catatan jika ada]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Hak Koreksi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[n]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[n]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[n]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[x]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[Catatan jika ada]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Hak Penghapusan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[n]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[n]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[n]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[x]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[Catatan jika ada]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Hak Portabilitas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[n]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[n]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[n]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[x]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[Catatan jika ada]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Penarikan Consent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[n]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[n]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[n]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[x]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[Catatan jika ada]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Hak Keberatan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[n]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[n]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[n]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[x]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[Catatan jika ada]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1"/>
        <w:pBdr>
          <w:bottom w:val="single" w:color="1A3C6B" w:sz="8" w:space="4"/>
        </w:pBdr>
        <w:spacing w:before="280" w:after="140"/>
      </w:pPr>
      <w:r>
        <w:rPr>
          <w:rFonts w:ascii="Arial" w:cs="Arial" w:eastAsia="Arial" w:hAnsi="Arial"/>
          <w:b/>
          <w:bCs/>
          <w:color w:val="1A3C6B"/>
          <w:sz w:val="32"/>
          <w:szCs w:val="32"/>
        </w:rPr>
        <w:t xml:space="preserve">2. Status Insiden &amp; Kebocoran Data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400"/>
        <w:gridCol w:w="1400"/>
        <w:gridCol w:w="1400"/>
        <w:gridCol w:w="2000"/>
        <w:gridCol w:w="2638"/>
      </w:tblGrid>
      <w:tr>
        <w:tc>
          <w:tcPr>
            <w:tcBorders>
              <w:top w:val="single" w:color="1A3C6B" w:sz="4"/>
              <w:left w:val="single" w:color="1A3C6B" w:sz="4"/>
              <w:bottom w:val="single" w:color="1A3C6B" w:sz="4"/>
              <w:right w:val="single" w:color="1A3C6B" w:sz="4"/>
            </w:tcBorders>
            <w:shd w:fill="1A3C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Level</w:t>
            </w:r>
          </w:p>
        </w:tc>
        <w:tc>
          <w:tcPr>
            <w:tcBorders>
              <w:top w:val="single" w:color="1A3C6B" w:sz="4"/>
              <w:left w:val="single" w:color="1A3C6B" w:sz="4"/>
              <w:bottom w:val="single" w:color="1A3C6B" w:sz="4"/>
              <w:right w:val="single" w:color="1A3C6B" w:sz="4"/>
            </w:tcBorders>
            <w:shd w:fill="1A3C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Bulan Ini</w:t>
            </w:r>
          </w:p>
        </w:tc>
        <w:tc>
          <w:tcPr>
            <w:tcBorders>
              <w:top w:val="single" w:color="1A3C6B" w:sz="4"/>
              <w:left w:val="single" w:color="1A3C6B" w:sz="4"/>
              <w:bottom w:val="single" w:color="1A3C6B" w:sz="4"/>
              <w:right w:val="single" w:color="1A3C6B" w:sz="4"/>
            </w:tcBorders>
            <w:shd w:fill="1A3C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Kumulatif YTD</w:t>
            </w:r>
          </w:p>
        </w:tc>
        <w:tc>
          <w:tcPr>
            <w:tcBorders>
              <w:top w:val="single" w:color="1A3C6B" w:sz="4"/>
              <w:left w:val="single" w:color="1A3C6B" w:sz="4"/>
              <w:bottom w:val="single" w:color="1A3C6B" w:sz="4"/>
              <w:right w:val="single" w:color="1A3C6B" w:sz="4"/>
            </w:tcBorders>
            <w:shd w:fill="1A3C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OJK Notified</w:t>
            </w:r>
          </w:p>
        </w:tc>
        <w:tc>
          <w:tcPr>
            <w:tcBorders>
              <w:top w:val="single" w:color="1A3C6B" w:sz="4"/>
              <w:left w:val="single" w:color="1A3C6B" w:sz="4"/>
              <w:bottom w:val="single" w:color="1A3C6B" w:sz="4"/>
              <w:right w:val="single" w:color="1A3C6B" w:sz="4"/>
            </w:tcBorders>
            <w:shd w:fill="1A3C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 Terakhir</w:t>
            </w:r>
          </w:p>
        </w:tc>
        <w:tc>
          <w:tcPr>
            <w:tcBorders>
              <w:top w:val="single" w:color="1A3C6B" w:sz="4"/>
              <w:left w:val="single" w:color="1A3C6B" w:sz="4"/>
              <w:bottom w:val="single" w:color="1A3C6B" w:sz="4"/>
              <w:right w:val="single" w:color="1A3C6B" w:sz="4"/>
            </w:tcBorders>
            <w:shd w:fill="1A3C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Tindak Lanjut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P1 - Kritis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[n]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[n]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[Ya/Tidak/N/A]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[Status]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[Tindak lanjut]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P2 - Tinggi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[n]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[n]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[Ya/Tidak/N/A]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[Status]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[Tindak lanjut]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P3 - Sedang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[n]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[n]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[Ya/Tidak/N/A]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[Status]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[Tindak lanjut]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P4 - Rendah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[n]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[n]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[Ya/Tidak/N/A]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[Status]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[Tindak lanjut]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1"/>
        <w:pBdr>
          <w:bottom w:val="single" w:color="1A3C6B" w:sz="8" w:space="4"/>
        </w:pBdr>
        <w:spacing w:before="280" w:after="140"/>
      </w:pPr>
      <w:r>
        <w:rPr>
          <w:rFonts w:ascii="Arial" w:cs="Arial" w:eastAsia="Arial" w:hAnsi="Arial"/>
          <w:b/>
          <w:bCs/>
          <w:color w:val="1A3C6B"/>
          <w:sz w:val="32"/>
          <w:szCs w:val="32"/>
        </w:rPr>
        <w:t xml:space="preserve">3. Program Pelatihan &amp; Awareness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1600"/>
        <w:gridCol w:w="1600"/>
        <w:gridCol w:w="2638"/>
      </w:tblGrid>
      <w:tr>
        <w:tc>
          <w:tcPr>
            <w:tcBorders>
              <w:top w:val="single" w:color="1A3C6B" w:sz="4"/>
              <w:left w:val="single" w:color="1A3C6B" w:sz="4"/>
              <w:bottom w:val="single" w:color="1A3C6B" w:sz="4"/>
              <w:right w:val="single" w:color="1A3C6B" w:sz="4"/>
            </w:tcBorders>
            <w:shd w:fill="1A3C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Direktorat</w:t>
            </w:r>
          </w:p>
        </w:tc>
        <w:tc>
          <w:tcPr>
            <w:tcBorders>
              <w:top w:val="single" w:color="1A3C6B" w:sz="4"/>
              <w:left w:val="single" w:color="1A3C6B" w:sz="4"/>
              <w:bottom w:val="single" w:color="1A3C6B" w:sz="4"/>
              <w:right w:val="single" w:color="1A3C6B" w:sz="4"/>
            </w:tcBorders>
            <w:shd w:fill="1A3C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Total Karyawan</w:t>
            </w:r>
          </w:p>
        </w:tc>
        <w:tc>
          <w:tcPr>
            <w:tcBorders>
              <w:top w:val="single" w:color="1A3C6B" w:sz="4"/>
              <w:left w:val="single" w:color="1A3C6B" w:sz="4"/>
              <w:bottom w:val="single" w:color="1A3C6B" w:sz="4"/>
              <w:right w:val="single" w:color="1A3C6B" w:sz="4"/>
            </w:tcBorders>
            <w:shd w:fill="1A3C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Sudah Training</w:t>
            </w:r>
          </w:p>
        </w:tc>
        <w:tc>
          <w:tcPr>
            <w:tcBorders>
              <w:top w:val="single" w:color="1A3C6B" w:sz="4"/>
              <w:left w:val="single" w:color="1A3C6B" w:sz="4"/>
              <w:bottom w:val="single" w:color="1A3C6B" w:sz="4"/>
              <w:right w:val="single" w:color="1A3C6B" w:sz="4"/>
            </w:tcBorders>
            <w:shd w:fill="1A3C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% Selesai</w:t>
            </w:r>
          </w:p>
        </w:tc>
        <w:tc>
          <w:tcPr>
            <w:tcBorders>
              <w:top w:val="single" w:color="1A3C6B" w:sz="4"/>
              <w:left w:val="single" w:color="1A3C6B" w:sz="4"/>
              <w:bottom w:val="single" w:color="1A3C6B" w:sz="4"/>
              <w:right w:val="single" w:color="1A3C6B" w:sz="4"/>
            </w:tcBorders>
            <w:shd w:fill="1A3C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Jadwal Sesi Berikutnya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Business Directorate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[n]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[n]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[x]%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[Tanggal]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Operation Directorate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[n]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[n]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[x]%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[Tanggal]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Technology &amp; Information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[n]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[n]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[x]%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[Tanggal]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Finance &amp; Investment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[n]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[n]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[x]%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[Tanggal]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Human Capital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[n]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[n]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[x]%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[Tanggal]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Compliance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[n]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[n]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[x]%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[Tanggal]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1"/>
        <w:pBdr>
          <w:bottom w:val="single" w:color="1A3C6B" w:sz="8" w:space="4"/>
        </w:pBdr>
        <w:spacing w:before="280" w:after="140"/>
      </w:pPr>
      <w:r>
        <w:rPr>
          <w:rFonts w:ascii="Arial" w:cs="Arial" w:eastAsia="Arial" w:hAnsi="Arial"/>
          <w:b/>
          <w:bCs/>
          <w:color w:val="1A3C6B"/>
          <w:sz w:val="32"/>
          <w:szCs w:val="32"/>
        </w:rPr>
        <w:t xml:space="preserve">4. Status DPIA &amp; Penilaian Risiko Privasi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500"/>
        <w:gridCol w:w="1500"/>
        <w:gridCol w:w="1500"/>
        <w:gridCol w:w="2138"/>
      </w:tblGrid>
      <w:tr>
        <w:tc>
          <w:tcPr>
            <w:tcBorders>
              <w:top w:val="single" w:color="1A3C6B" w:sz="4"/>
              <w:left w:val="single" w:color="1A3C6B" w:sz="4"/>
              <w:bottom w:val="single" w:color="1A3C6B" w:sz="4"/>
              <w:right w:val="single" w:color="1A3C6B" w:sz="4"/>
            </w:tcBorders>
            <w:shd w:fill="1A3C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Aktivitas Pemrosesan</w:t>
            </w:r>
          </w:p>
        </w:tc>
        <w:tc>
          <w:tcPr>
            <w:tcBorders>
              <w:top w:val="single" w:color="1A3C6B" w:sz="4"/>
              <w:left w:val="single" w:color="1A3C6B" w:sz="4"/>
              <w:bottom w:val="single" w:color="1A3C6B" w:sz="4"/>
              <w:right w:val="single" w:color="1A3C6B" w:sz="4"/>
            </w:tcBorders>
            <w:shd w:fill="1A3C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DPIA Wajib</w:t>
            </w:r>
          </w:p>
        </w:tc>
        <w:tc>
          <w:tcPr>
            <w:tcBorders>
              <w:top w:val="single" w:color="1A3C6B" w:sz="4"/>
              <w:left w:val="single" w:color="1A3C6B" w:sz="4"/>
              <w:bottom w:val="single" w:color="1A3C6B" w:sz="4"/>
              <w:right w:val="single" w:color="1A3C6B" w:sz="4"/>
            </w:tcBorders>
            <w:shd w:fill="1A3C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DPIA Selesai</w:t>
            </w:r>
          </w:p>
        </w:tc>
        <w:tc>
          <w:tcPr>
            <w:tcBorders>
              <w:top w:val="single" w:color="1A3C6B" w:sz="4"/>
              <w:left w:val="single" w:color="1A3C6B" w:sz="4"/>
              <w:bottom w:val="single" w:color="1A3C6B" w:sz="4"/>
              <w:right w:val="single" w:color="1A3C6B" w:sz="4"/>
            </w:tcBorders>
            <w:shd w:fill="1A3C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Risiko Residual</w:t>
            </w:r>
          </w:p>
        </w:tc>
        <w:tc>
          <w:tcPr>
            <w:tcBorders>
              <w:top w:val="single" w:color="1A3C6B" w:sz="4"/>
              <w:left w:val="single" w:color="1A3C6B" w:sz="4"/>
              <w:bottom w:val="single" w:color="1A3C6B" w:sz="4"/>
              <w:right w:val="single" w:color="1A3C6B" w:sz="4"/>
            </w:tcBorders>
            <w:shd w:fill="1A3C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 Mitigasi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Sistem klaim rawat inap nasabah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Ya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[Ya/Tidak]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[Rendah/Sedang/Tinggi]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[Status]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e-KYC biometrik — onboarding digital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Ya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[Ya/Tidak]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[Rendah/Sedang/Tinggi]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[Status]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AI fraud detection (POC)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Ya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[Ya/Tidak]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[Rendah/Sedang/Tinggi]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[Status]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Transfer data ke reasuradur internasional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Ya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[Ya/Tidak]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[Rendah/Sedang/Tinggi]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[Status]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1"/>
        <w:pBdr>
          <w:bottom w:val="single" w:color="1A3C6B" w:sz="8" w:space="4"/>
        </w:pBdr>
        <w:spacing w:before="280" w:after="140"/>
      </w:pPr>
      <w:r>
        <w:rPr>
          <w:rFonts w:ascii="Arial" w:cs="Arial" w:eastAsia="Arial" w:hAnsi="Arial"/>
          <w:b/>
          <w:bCs/>
          <w:color w:val="1A3C6B"/>
          <w:sz w:val="32"/>
          <w:szCs w:val="32"/>
        </w:rPr>
        <w:t xml:space="preserve">5. Status Vendor &amp; DPA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200"/>
        <w:gridCol w:w="1500"/>
        <w:gridCol w:w="1200"/>
        <w:gridCol w:w="1200"/>
        <w:gridCol w:w="2538"/>
      </w:tblGrid>
      <w:tr>
        <w:tc>
          <w:tcPr>
            <w:tcBorders>
              <w:top w:val="single" w:color="1A3C6B" w:sz="4"/>
              <w:left w:val="single" w:color="1A3C6B" w:sz="4"/>
              <w:bottom w:val="single" w:color="1A3C6B" w:sz="4"/>
              <w:right w:val="single" w:color="1A3C6B" w:sz="4"/>
            </w:tcBorders>
            <w:shd w:fill="1A3C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Vendor</w:t>
            </w:r>
          </w:p>
        </w:tc>
        <w:tc>
          <w:tcPr>
            <w:tcBorders>
              <w:top w:val="single" w:color="1A3C6B" w:sz="4"/>
              <w:left w:val="single" w:color="1A3C6B" w:sz="4"/>
              <w:bottom w:val="single" w:color="1A3C6B" w:sz="4"/>
              <w:right w:val="single" w:color="1A3C6B" w:sz="4"/>
            </w:tcBorders>
            <w:shd w:fill="1A3C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Tier</w:t>
            </w:r>
          </w:p>
        </w:tc>
        <w:tc>
          <w:tcPr>
            <w:tcBorders>
              <w:top w:val="single" w:color="1A3C6B" w:sz="4"/>
              <w:left w:val="single" w:color="1A3C6B" w:sz="4"/>
              <w:bottom w:val="single" w:color="1A3C6B" w:sz="4"/>
              <w:right w:val="single" w:color="1A3C6B" w:sz="4"/>
            </w:tcBorders>
            <w:shd w:fill="1A3C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DPA Status</w:t>
            </w:r>
          </w:p>
        </w:tc>
        <w:tc>
          <w:tcPr>
            <w:tcBorders>
              <w:top w:val="single" w:color="1A3C6B" w:sz="4"/>
              <w:left w:val="single" w:color="1A3C6B" w:sz="4"/>
              <w:bottom w:val="single" w:color="1A3C6B" w:sz="4"/>
              <w:right w:val="single" w:color="1A3C6B" w:sz="4"/>
            </w:tcBorders>
            <w:shd w:fill="1A3C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Last Review</w:t>
            </w:r>
          </w:p>
        </w:tc>
        <w:tc>
          <w:tcPr>
            <w:tcBorders>
              <w:top w:val="single" w:color="1A3C6B" w:sz="4"/>
              <w:left w:val="single" w:color="1A3C6B" w:sz="4"/>
              <w:bottom w:val="single" w:color="1A3C6B" w:sz="4"/>
              <w:right w:val="single" w:color="1A3C6B" w:sz="4"/>
            </w:tcBorders>
            <w:shd w:fill="1A3C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Next Review</w:t>
            </w:r>
          </w:p>
        </w:tc>
        <w:tc>
          <w:tcPr>
            <w:tcBorders>
              <w:top w:val="single" w:color="1A3C6B" w:sz="4"/>
              <w:left w:val="single" w:color="1A3C6B" w:sz="4"/>
              <w:bottom w:val="single" w:color="1A3C6B" w:sz="4"/>
              <w:right w:val="single" w:color="1A3C6B" w:sz="4"/>
            </w:tcBorders>
            <w:shd w:fill="1A3C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Catatan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[Vendor e-KYC]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[1/2/3]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Selesai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[Tanggal]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[Tanggal]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[Catatan]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[Reasuradur A]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[1/2/3]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Selesai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[Tanggal]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[Tanggal]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[Catatan]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[Payment Gateway]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[1/2/3]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Selesai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[Tanggal]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[Tanggal]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[Catatan]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[Cloud Provider]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[1/2/3]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Selesai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[Tanggal]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[Tanggal]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[Catatan]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[Vendor Klaim]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[1/2/3]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Selesai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[Tanggal]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[Tanggal]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[Catatan]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1"/>
        <w:pBdr>
          <w:bottom w:val="single" w:color="1A3C6B" w:sz="8" w:space="4"/>
        </w:pBdr>
        <w:spacing w:before="280" w:after="140"/>
      </w:pPr>
      <w:r>
        <w:rPr>
          <w:rFonts w:ascii="Arial" w:cs="Arial" w:eastAsia="Arial" w:hAnsi="Arial"/>
          <w:b/>
          <w:bCs/>
          <w:color w:val="1A3C6B"/>
          <w:sz w:val="32"/>
          <w:szCs w:val="32"/>
        </w:rPr>
        <w:t xml:space="preserve">6. Tren &amp; Rekomendasi DPO</w:t>
      </w:r>
    </w:p>
    <w:p>
      <w:pPr>
        <w:spacing w:before="60" w:after="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[Diisi oleh DPO — uraikan tren utama yang teridentifikasi dari data KPI bulan ini, area yang memerlukan perhatian, dan rekomendasi tindakan untuk bulan berikutnya. Minimum 3 poin spesifik dengan justifikasi data.]</w:t>
      </w:r>
    </w:p>
    <w:p>
      <w:pPr>
        <w:spacing w:before="80" w:after="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[Tren 1: Observasi + data pendukung + rekomendasi]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[Tren 2: Observasi + data pendukung + rekomendasi]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[Tren 3: Observasi + data pendukung + rekomendasi]</w:t>
      </w:r>
    </w:p>
    <w:p>
      <w:pPr>
        <w:spacing w:before="120" w:after="0"/>
      </w:pPr>
      <w:r>
        <w:t xml:space="preserve"/>
      </w:r>
    </w:p>
    <w:p>
      <w:pPr>
        <w:pStyle w:val="Heading1"/>
        <w:pBdr>
          <w:bottom w:val="single" w:color="1A3C6B" w:sz="8" w:space="4"/>
        </w:pBdr>
        <w:spacing w:before="280" w:after="140"/>
      </w:pPr>
      <w:r>
        <w:rPr>
          <w:rFonts w:ascii="Arial" w:cs="Arial" w:eastAsia="Arial" w:hAnsi="Arial"/>
          <w:b/>
          <w:bCs/>
          <w:color w:val="1A3C6B"/>
          <w:sz w:val="32"/>
          <w:szCs w:val="32"/>
        </w:rPr>
        <w:t xml:space="preserve">7. Tanda Tangan &amp; Distribusi</w:t>
      </w:r>
    </w:p>
    <w:p>
      <w:pPr>
        <w:spacing w:before="80" w:after="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c>
          <w:tcPr>
            <w:tcW w:type="dxa" w:w="481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CE6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C6B"/>
                <w:sz w:val="20"/>
                <w:szCs w:val="20"/>
              </w:rPr>
              <w:t xml:space="preserve">Disusun &amp; Diverifikasi oleh</w:t>
            </w:r>
          </w:p>
        </w:tc>
        <w:tc>
          <w:tcPr>
            <w:tcW w:type="dxa" w:w="481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CE6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C6B"/>
                <w:sz w:val="20"/>
                <w:szCs w:val="20"/>
              </w:rPr>
              <w:t xml:space="preserve">Diketahui oleh</w:t>
            </w:r>
          </w:p>
        </w:tc>
      </w:tr>
      <w:tr>
        <w:tc>
          <w:tcPr>
            <w:tcW w:type="dxa" w:w="481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Tanda Tangan</w:t>
            </w:r>
          </w:p>
          <w:p>
            <w:pPr>
              <w:spacing w:before="560"/>
              <w:jc w:val="center"/>
            </w:pPr>
            <w:r>
              <w:rPr>
                <w:rFonts w:ascii="Arial" w:cs="Arial" w:eastAsia="Arial" w:hAnsi="Arial"/>
                <w:color w:val="CCCCCC"/>
                <w:sz w:val="20"/>
                <w:szCs w:val="20"/>
              </w:rPr>
              <w:t xml:space="preserve">___________________</w:t>
            </w:r>
          </w:p>
        </w:tc>
        <w:tc>
          <w:tcPr>
            <w:tcW w:type="dxa" w:w="481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Tanda Tangan</w:t>
            </w:r>
          </w:p>
          <w:p>
            <w:pPr>
              <w:spacing w:before="560"/>
              <w:jc w:val="center"/>
            </w:pPr>
            <w:r>
              <w:rPr>
                <w:rFonts w:ascii="Arial" w:cs="Arial" w:eastAsia="Arial" w:hAnsi="Arial"/>
                <w:color w:val="CCCCCC"/>
                <w:sz w:val="20"/>
                <w:szCs w:val="20"/>
              </w:rPr>
              <w:t xml:space="preserve">___________________</w:t>
            </w:r>
          </w:p>
        </w:tc>
      </w:tr>
      <w:tr>
        <w:tc>
          <w:tcPr>
            <w:tcW w:type="dxa" w:w="481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DPO / Privacy Officer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IT Security &amp; Governance</w:t>
            </w:r>
          </w:p>
        </w:tc>
        <w:tc>
          <w:tcPr>
            <w:tcW w:type="dxa" w:w="481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Direktur Technology &amp; Information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PT Equity Life Indonesia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Distribusi: Direktur T&amp;I, Komite Pengelola TI, Komite Manajemen Risiko, Internal Audit, President Director (ringkasan eksekutif)</w:t>
      </w:r>
    </w:p>
    <w:sectPr>
      <w:headerReference w:type="default" r:id="rId6"/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2"/>
      </w:pBdr>
      <w:spacing w:before="60"/>
    </w:pPr>
    <w:r>
      <w:rPr>
        <w:rFonts w:ascii="Arial" w:cs="Arial" w:eastAsia="Arial" w:hAnsi="Arial"/>
        <w:color w:val="666666"/>
        <w:sz w:val="16"/>
        <w:szCs w:val="16"/>
      </w:rPr>
      <w:t xml:space="preserve">Rahasia — Internal  |  PT Equity Life Indonesia  |  UU PDP &amp; ISO 27701:2019 — 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638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6264"/>
      <w:gridCol w:w="3373"/>
    </w:tblGrid>
    <w:tr>
      <w:tc>
        <w:tcPr>
          <w:tcW w:type="dxa" w:w="6264"/>
          <w:tcBorders>
            <w:top w:val="none" w:color="FFFFFF" w:sz="0"/>
            <w:left w:val="none" w:color="FFFFFF" w:sz="0"/>
            <w:bottom w:val="single" w:color="1A3C6B" w:sz="6"/>
            <w:right w:val="none" w:color="FFFFFF" w:sz="0"/>
          </w:tcBorders>
        </w:tcPr>
        <w:p>
          <w:r>
            <w:rPr>
              <w:rFonts w:ascii="Arial" w:cs="Arial" w:eastAsia="Arial" w:hAnsi="Arial"/>
              <w:b/>
              <w:bCs/>
              <w:color w:val="1A3C6B"/>
              <w:sz w:val="18"/>
              <w:szCs w:val="18"/>
            </w:rPr>
            <w:t xml:space="preserve">PT Equity Life Indonesia</w:t>
          </w:r>
        </w:p>
        <w:p>
          <w:r>
            <w:rPr>
              <w:rFonts w:ascii="Arial" w:cs="Arial" w:eastAsia="Arial" w:hAnsi="Arial"/>
              <w:color w:val="666666"/>
              <w:sz w:val="16"/>
              <w:szCs w:val="16"/>
            </w:rPr>
            <w:t xml:space="preserve">Dashboard KPI Privasi &amp; Kepatuhan UU PDP — Template Laporan</w:t>
          </w:r>
        </w:p>
      </w:tc>
      <w:tc>
        <w:tcPr>
          <w:tcW w:type="dxa" w:w="3373"/>
          <w:tcBorders>
            <w:top w:val="none" w:color="FFFFFF" w:sz="0"/>
            <w:left w:val="none" w:color="FFFFFF" w:sz="0"/>
            <w:bottom w:val="single" w:color="1A3C6B" w:sz="6"/>
            <w:right w:val="none" w:color="FFFFFF" w:sz="0"/>
          </w:tcBorders>
        </w:tcPr>
        <w:p>
          <w:pPr>
            <w:jc w:val="right"/>
          </w:pPr>
          <w:r>
            <w:rPr>
              <w:rFonts w:ascii="Arial" w:cs="Arial" w:eastAsia="Arial" w:hAnsi="Arial"/>
              <w:color w:val="666666"/>
              <w:sz w:val="16"/>
              <w:szCs w:val="16"/>
            </w:rPr>
            <w:t xml:space="preserve">ELI-PDPISO27701-040</w:t>
          </w:r>
        </w:p>
        <w:p>
          <w:pPr>
            <w:jc w:val="right"/>
          </w:pPr>
          <w:r>
            <w:rPr>
              <w:rFonts w:ascii="Arial" w:cs="Arial" w:eastAsia="Arial" w:hAnsi="Arial"/>
              <w:color w:val="666666"/>
              <w:sz w:val="16"/>
              <w:szCs w:val="16"/>
            </w:rPr>
            <w:t xml:space="preserve">Versi 1.0 | 2026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)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80" w:after="140"/>
      <w:outlineLvl w:val="0"/>
    </w:pPr>
    <w:rPr>
      <w:rFonts w:ascii="Arial" w:cs="Arial" w:eastAsia="Arial" w:hAnsi="Arial"/>
      <w:b/>
      <w:bCs/>
      <w:color w:val="1A3C6B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20" w:after="100"/>
      <w:outlineLvl w:val="1"/>
    </w:pPr>
    <w:rPr>
      <w:rFonts w:ascii="Arial" w:cs="Arial" w:eastAsia="Arial" w:hAnsi="Arial"/>
      <w:b/>
      <w:bCs/>
      <w:color w:val="2563A8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160" w:after="60"/>
      <w:outlineLvl w:val="2"/>
    </w:pPr>
    <w:rPr>
      <w:rFonts w:ascii="Arial" w:cs="Arial" w:eastAsia="Arial" w:hAnsi="Arial"/>
      <w:b/>
      <w:bCs/>
      <w:color w:val="40404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2026-03-21T17:22:32.576Z</dcterms:created>
  <dcterms:modified xsi:type="dcterms:W3CDTF">2026-03-21T17:22:32.576Z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