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F4E79"/>
          <w:sz w:val="56"/>
          <w:szCs w:val="56"/>
        </w:rPr>
        <w:t xml:space="preserve">PROJECT PLAN</w:t>
      </w:r>
    </w:p>
    <w:p>
      <w:pPr>
        <w:spacing w:before="0" w:after="80"/>
        <w:jc w:val="center"/>
      </w:pPr>
      <w:r>
        <w:rPr>
          <w:rFonts w:ascii="Arial" w:cs="Arial" w:eastAsia="Arial" w:hAnsi="Arial"/>
          <w:color w:val="2E75B6"/>
          <w:sz w:val="36"/>
          <w:szCs w:val="36"/>
        </w:rPr>
        <w:t xml:space="preserve">Implementasi Kepatuhan</w:t>
      </w:r>
    </w:p>
    <w:p>
      <w:pPr>
        <w:spacing w:before="0" w:after="80"/>
        <w:jc w:val="center"/>
      </w:pPr>
      <w:r>
        <w:rPr>
          <w:rFonts w:ascii="Arial" w:cs="Arial" w:eastAsia="Arial" w:hAnsi="Arial"/>
          <w:b/>
          <w:bCs/>
          <w:color w:val="2E75B6"/>
          <w:sz w:val="36"/>
          <w:szCs w:val="36"/>
        </w:rPr>
        <w:t xml:space="preserve">Undang-Undang Pelindungan Data Pribadi</w:t>
      </w:r>
    </w:p>
    <w:p>
      <w:pPr>
        <w:spacing w:before="0" w:after="80"/>
        <w:jc w:val="center"/>
      </w:pPr>
      <w:r>
        <w:rPr>
          <w:rFonts w:ascii="Arial" w:cs="Arial" w:eastAsia="Arial" w:hAnsi="Arial"/>
          <w:color w:val="595959"/>
          <w:sz w:val="28"/>
          <w:szCs w:val="28"/>
        </w:rPr>
        <w:t xml:space="preserve">(UU PDP No. 27 Tahun 2022)</w:t>
      </w:r>
    </w:p>
    <w:p>
      <w:pPr>
        <w:pBdr>
          <w:bottom w:val="single" w:color="1F4E79" w:sz="8" w:space="1"/>
        </w:pBdr>
        <w:spacing w:before="60" w:after="40"/>
        <w:jc w:val="center"/>
      </w:pPr>
      <w:r>
        <w:t xml:space="preserve"/>
      </w:r>
    </w:p>
    <w:p>
      <w:pPr>
        <w:spacing w:before="60" w:after="60"/>
      </w:pPr>
      <w:r>
        <w:t xml:space="preserve"/>
      </w:r>
    </w:p>
    <w:p>
      <w:pPr>
        <w:spacing w:before="40" w:after="40"/>
        <w:jc w:val="center"/>
      </w:pPr>
      <w:r>
        <w:rPr>
          <w:rFonts w:ascii="Arial" w:cs="Arial" w:eastAsia="Arial" w:hAnsi="Arial"/>
          <w:color w:val="595959"/>
          <w:sz w:val="20"/>
          <w:szCs w:val="20"/>
        </w:rPr>
        <w:t xml:space="preserve">Panduan ini disusun berdasarkan:</w:t>
      </w:r>
    </w:p>
    <w:p>
      <w:pPr>
        <w:spacing w:before="20" w:after="20"/>
        <w:jc w:val="center"/>
      </w:pPr>
      <w:r>
        <w:rPr>
          <w:rFonts w:ascii="Arial" w:cs="Arial" w:eastAsia="Arial" w:hAnsi="Arial"/>
          <w:b/>
          <w:bCs/>
          <w:color w:val="1F4E79"/>
          <w:sz w:val="22"/>
          <w:szCs w:val="22"/>
        </w:rPr>
        <w:t xml:space="preserve">Buku Panduan Praktis Kepatuhan UU PDP</w:t>
      </w:r>
    </w:p>
    <w:p>
      <w:pPr>
        <w:spacing w:before="20" w:after="20"/>
        <w:jc w:val="center"/>
      </w:pPr>
      <w:r>
        <w:rPr>
          <w:rFonts w:ascii="Arial" w:cs="Arial" w:eastAsia="Arial" w:hAnsi="Arial"/>
          <w:color w:val="595959"/>
          <w:sz w:val="20"/>
          <w:szCs w:val="20"/>
        </w:rPr>
        <w:t xml:space="preserve">Endiaz Ludia Arsanto, 2026</w:t>
      </w:r>
    </w:p>
    <w:p>
      <w:pPr>
        <w:spacing w:before="60" w:after="60"/>
      </w:pPr>
      <w:r>
        <w:t xml:space="preserve"/>
      </w:r>
    </w:p>
    <w:p>
      <w:pPr>
        <w:spacing w:before="0" w:after="0"/>
        <w:jc w:val="center"/>
      </w:pPr>
      <w:r>
        <w:rPr>
          <w:rFonts w:ascii="Arial" w:cs="Arial" w:eastAsia="Arial" w:hAnsi="Arial"/>
          <w:color w:val="7F7F7F"/>
          <w:sz w:val="18"/>
          <w:szCs w:val="18"/>
        </w:rPr>
        <w:t xml:space="preserve">Versi 1.0  |  Jakarta, 2026</w:t>
      </w:r>
    </w:p>
    <w:p>
      <w:r>
        <w:br w:type="page"/>
      </w:r>
    </w:p>
    <w:p>
      <w:pPr>
        <w:pStyle w:val="Heading1"/>
        <w:spacing w:before="320" w:after="160"/>
      </w:pPr>
      <w:r>
        <w:rPr>
          <w:rFonts w:ascii="Arial" w:cs="Arial" w:eastAsia="Arial" w:hAnsi="Arial"/>
          <w:b/>
          <w:bCs/>
          <w:color w:val="1F4E79"/>
          <w:sz w:val="28"/>
          <w:szCs w:val="28"/>
        </w:rPr>
        <w:t xml:space="preserve">1. Latar Belakang &amp; Urgensi</w:t>
      </w:r>
    </w:p>
    <w:p>
      <w:pPr>
        <w:spacing w:before="60" w:after="60"/>
      </w:pPr>
      <w:r>
        <w:rPr>
          <w:rFonts w:ascii="Arial" w:cs="Arial" w:eastAsia="Arial" w:hAnsi="Arial"/>
          <w:sz w:val="20"/>
          <w:szCs w:val="20"/>
        </w:rPr>
        <w:t xml:space="preserve">UU Pelindungan Data Pribadi (UU No. 27 Tahun 2022) telah resmi berlaku dan mewajibkan seluruh organisasi—baik swasta maupun publik—yang memproses data pribadi untuk memenuhi standar kepatuhan yang ketat. Kegagalan memenuhi kewajiban ini berpotensi mengakibatkan:</w:t>
      </w:r>
    </w:p>
    <w:p>
      <w:pPr>
        <w:pStyle w:val="ListParagraph"/>
        <w:numPr>
          <w:ilvl w:val="0"/>
          <w:numId w:val="2"/>
        </w:numPr>
        <w:spacing w:before="40" w:after="40"/>
      </w:pPr>
      <w:r>
        <w:rPr>
          <w:rFonts w:ascii="Arial" w:cs="Arial" w:eastAsia="Arial" w:hAnsi="Arial"/>
          <w:sz w:val="20"/>
          <w:szCs w:val="20"/>
        </w:rPr>
        <w:t xml:space="preserve">Sanksi administratif hingga 2% dari pendapatan tahunan</w:t>
      </w:r>
    </w:p>
    <w:p>
      <w:pPr>
        <w:pStyle w:val="ListParagraph"/>
        <w:numPr>
          <w:ilvl w:val="0"/>
          <w:numId w:val="2"/>
        </w:numPr>
        <w:spacing w:before="40" w:after="40"/>
      </w:pPr>
      <w:r>
        <w:rPr>
          <w:rFonts w:ascii="Arial" w:cs="Arial" w:eastAsia="Arial" w:hAnsi="Arial"/>
          <w:sz w:val="20"/>
          <w:szCs w:val="20"/>
        </w:rPr>
        <w:t xml:space="preserve">Ancaman pidana penjara hingga 6 tahun dan denda hingga Rp 6 Miliar</w:t>
      </w:r>
    </w:p>
    <w:p>
      <w:pPr>
        <w:pStyle w:val="ListParagraph"/>
        <w:numPr>
          <w:ilvl w:val="0"/>
          <w:numId w:val="2"/>
        </w:numPr>
        <w:spacing w:before="40" w:after="40"/>
      </w:pPr>
      <w:r>
        <w:rPr>
          <w:rFonts w:ascii="Arial" w:cs="Arial" w:eastAsia="Arial" w:hAnsi="Arial"/>
          <w:sz w:val="20"/>
          <w:szCs w:val="20"/>
        </w:rPr>
        <w:t xml:space="preserve">Gugatan perdata dari subjek data yang dirugikan</w:t>
      </w:r>
    </w:p>
    <w:p>
      <w:pPr>
        <w:pStyle w:val="ListParagraph"/>
        <w:numPr>
          <w:ilvl w:val="0"/>
          <w:numId w:val="2"/>
        </w:numPr>
        <w:spacing w:before="40" w:after="40"/>
      </w:pPr>
      <w:r>
        <w:rPr>
          <w:rFonts w:ascii="Arial" w:cs="Arial" w:eastAsia="Arial" w:hAnsi="Arial"/>
          <w:sz w:val="20"/>
          <w:szCs w:val="20"/>
        </w:rPr>
        <w:t xml:space="preserve">Kerusakan reputasi dan hilangnya kepercayaan pelanggan</w:t>
      </w:r>
    </w:p>
    <w:p>
      <w:pPr>
        <w:spacing w:before="60" w:after="60"/>
      </w:pPr>
      <w:r>
        <w:t xml:space="preserve"/>
      </w:r>
    </w:p>
    <w:p>
      <w:pPr>
        <w:spacing w:before="60" w:after="60"/>
      </w:pPr>
      <w:r>
        <w:rPr>
          <w:rFonts w:ascii="Arial" w:cs="Arial" w:eastAsia="Arial" w:hAnsi="Arial"/>
          <w:sz w:val="20"/>
          <w:szCs w:val="20"/>
        </w:rPr>
        <w:t xml:space="preserve">Project Plan ini menjadi panduan terstruktur bagi organisasi untuk mengimplementasikan kepatuhan UU PDP secara sistematis, terukur, dan terdokumentasi dengan baik.</w:t>
      </w:r>
    </w:p>
    <w:p>
      <w:pPr>
        <w:pStyle w:val="Heading1"/>
        <w:spacing w:before="320" w:after="160"/>
      </w:pPr>
      <w:r>
        <w:rPr>
          <w:rFonts w:ascii="Arial" w:cs="Arial" w:eastAsia="Arial" w:hAnsi="Arial"/>
          <w:b/>
          <w:bCs/>
          <w:color w:val="1F4E79"/>
          <w:sz w:val="28"/>
          <w:szCs w:val="28"/>
        </w:rPr>
        <w:t xml:space="preserve">2. Ruang Lingkup Implementasi</w:t>
      </w:r>
    </w:p>
    <w:p>
      <w:pPr>
        <w:spacing w:before="60" w:after="60"/>
      </w:pPr>
      <w:r>
        <w:rPr>
          <w:rFonts w:ascii="Arial" w:cs="Arial" w:eastAsia="Arial" w:hAnsi="Arial"/>
          <w:sz w:val="20"/>
          <w:szCs w:val="20"/>
        </w:rPr>
        <w:t xml:space="preserve">Program ini mencakup seluruh unit organisasi yang terlibat dalam pemrosesan data pribadi, meliputi:</w:t>
      </w:r>
    </w:p>
    <w:p>
      <w:pPr>
        <w:pStyle w:val="ListParagraph"/>
        <w:numPr>
          <w:ilvl w:val="0"/>
          <w:numId w:val="2"/>
        </w:numPr>
        <w:spacing w:before="40" w:after="40"/>
      </w:pPr>
      <w:r>
        <w:rPr>
          <w:rFonts w:ascii="Arial" w:cs="Arial" w:eastAsia="Arial" w:hAnsi="Arial"/>
          <w:sz w:val="20"/>
          <w:szCs w:val="20"/>
        </w:rPr>
        <w:t xml:space="preserve">Pengumpulan dan pencatatan data pelanggan, karyawan, mitra, dan masyarakat</w:t>
      </w:r>
    </w:p>
    <w:p>
      <w:pPr>
        <w:pStyle w:val="ListParagraph"/>
        <w:numPr>
          <w:ilvl w:val="0"/>
          <w:numId w:val="2"/>
        </w:numPr>
        <w:spacing w:before="40" w:after="40"/>
      </w:pPr>
      <w:r>
        <w:rPr>
          <w:rFonts w:ascii="Arial" w:cs="Arial" w:eastAsia="Arial" w:hAnsi="Arial"/>
          <w:sz w:val="20"/>
          <w:szCs w:val="20"/>
        </w:rPr>
        <w:t xml:space="preserve">Penyimpanan, penggunaan, pengungkapan, dan transfer data pribadi</w:t>
      </w:r>
    </w:p>
    <w:p>
      <w:pPr>
        <w:pStyle w:val="ListParagraph"/>
        <w:numPr>
          <w:ilvl w:val="0"/>
          <w:numId w:val="2"/>
        </w:numPr>
        <w:spacing w:before="40" w:after="40"/>
      </w:pPr>
      <w:r>
        <w:rPr>
          <w:rFonts w:ascii="Arial" w:cs="Arial" w:eastAsia="Arial" w:hAnsi="Arial"/>
          <w:sz w:val="20"/>
          <w:szCs w:val="20"/>
        </w:rPr>
        <w:t xml:space="preserve">Sistem elektronik dan non-elektronik yang menyimpan data pribadi</w:t>
      </w:r>
    </w:p>
    <w:p>
      <w:pPr>
        <w:pStyle w:val="ListParagraph"/>
        <w:numPr>
          <w:ilvl w:val="0"/>
          <w:numId w:val="2"/>
        </w:numPr>
        <w:spacing w:before="40" w:after="40"/>
      </w:pPr>
      <w:r>
        <w:rPr>
          <w:rFonts w:ascii="Arial" w:cs="Arial" w:eastAsia="Arial" w:hAnsi="Arial"/>
          <w:sz w:val="20"/>
          <w:szCs w:val="20"/>
        </w:rPr>
        <w:t xml:space="preserve">Seluruh vendor/prosesor pihak ketiga yang mengelola data atas nama organisasi</w:t>
      </w:r>
    </w:p>
    <w:p>
      <w:pPr>
        <w:pStyle w:val="ListParagraph"/>
        <w:numPr>
          <w:ilvl w:val="0"/>
          <w:numId w:val="2"/>
        </w:numPr>
        <w:spacing w:before="40" w:after="40"/>
      </w:pPr>
      <w:r>
        <w:rPr>
          <w:rFonts w:ascii="Arial" w:cs="Arial" w:eastAsia="Arial" w:hAnsi="Arial"/>
          <w:sz w:val="20"/>
          <w:szCs w:val="20"/>
        </w:rPr>
        <w:t xml:space="preserve">Proses otomatis yang menghasilkan keputusan berdampak pada subjek data</w:t>
      </w:r>
    </w:p>
    <w:p>
      <w:pPr>
        <w:pStyle w:val="Heading1"/>
        <w:spacing w:before="320" w:after="160"/>
      </w:pPr>
      <w:r>
        <w:rPr>
          <w:rFonts w:ascii="Arial" w:cs="Arial" w:eastAsia="Arial" w:hAnsi="Arial"/>
          <w:b/>
          <w:bCs/>
          <w:color w:val="1F4E79"/>
          <w:sz w:val="28"/>
          <w:szCs w:val="28"/>
        </w:rPr>
        <w:t xml:space="preserve">3. Struktur Tim &amp; Penanggung Jawab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Peran</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Tanggung Jawab</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Fungsi/Jabatan</w:t>
            </w:r>
          </w:p>
        </w:tc>
      </w:tr>
      <w:tr>
        <w:tc>
          <w:tcPr>
            <w:tcW w:type="dxa" w:w="2800"/>
            <w:tcBorders>
              <w:top w:val="single" w:color="CCCCCC" w:sz="1"/>
              <w:left w:val="single" w:color="CCCCCC" w:sz="1"/>
              <w:bottom w:val="single" w:color="CCCCCC" w:sz="1"/>
              <w:right w:val="single" w:color="CCCCCC" w:sz="1"/>
            </w:tcBorders>
            <w:shd w:fill="E7F0F9"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Sponsor Program</w:t>
            </w:r>
          </w:p>
        </w:tc>
        <w:tc>
          <w:tcPr>
            <w:tcW w:type="dxa" w:w="32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Memberikan dukungan penuh, anggaran, dan kebijakan strategis</w:t>
            </w:r>
          </w:p>
        </w:tc>
        <w:tc>
          <w:tcPr>
            <w:tcW w:type="dxa" w:w="336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Direktur Utama / C-Suite</w:t>
            </w:r>
          </w:p>
        </w:tc>
      </w:tr>
      <w:tr>
        <w:tc>
          <w:tcPr>
            <w:tcW w:type="dxa" w:w="2800"/>
            <w:tcBorders>
              <w:top w:val="single" w:color="CCCCCC" w:sz="1"/>
              <w:left w:val="single" w:color="CCCCCC" w:sz="1"/>
              <w:bottom w:val="single" w:color="CCCCCC" w:sz="1"/>
              <w:right w:val="single" w:color="CCCCCC" w:sz="1"/>
            </w:tcBorders>
            <w:shd w:fill="E7F0F9"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DPO / Pejabat PDP</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Koordinasi program, pemantauan kepatuhan, titik kontak regulator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Ditunjuk formal melalui SK (Pasal 53)</w:t>
            </w:r>
          </w:p>
        </w:tc>
      </w:tr>
      <w:tr>
        <w:tc>
          <w:tcPr>
            <w:tcW w:type="dxa" w:w="2800"/>
            <w:tcBorders>
              <w:top w:val="single" w:color="CCCCCC" w:sz="1"/>
              <w:left w:val="single" w:color="CCCCCC" w:sz="1"/>
              <w:bottom w:val="single" w:color="CCCCCC" w:sz="1"/>
              <w:right w:val="single" w:color="CCCCCC" w:sz="1"/>
            </w:tcBorders>
            <w:shd w:fill="E7F0F9"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Tim Legal/Kepatuhan</w:t>
            </w:r>
          </w:p>
        </w:tc>
        <w:tc>
          <w:tcPr>
            <w:tcW w:type="dxa" w:w="32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Penyusunan kebijakan, kontrak vendor, analisis regulasi</w:t>
            </w:r>
          </w:p>
        </w:tc>
        <w:tc>
          <w:tcPr>
            <w:tcW w:type="dxa" w:w="336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Legal / Compliance Officer</w:t>
            </w:r>
          </w:p>
        </w:tc>
      </w:tr>
      <w:tr>
        <w:tc>
          <w:tcPr>
            <w:tcW w:type="dxa" w:w="2800"/>
            <w:tcBorders>
              <w:top w:val="single" w:color="CCCCCC" w:sz="1"/>
              <w:left w:val="single" w:color="CCCCCC" w:sz="1"/>
              <w:bottom w:val="single" w:color="CCCCCC" w:sz="1"/>
              <w:right w:val="single" w:color="CCCCCC" w:sz="1"/>
            </w:tcBorders>
            <w:shd w:fill="E7F0F9"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Tim IT/Keamanan Informasi</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Implementasi kontrol teknis, keamanan sistem, respons insiden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IT Manager / CISO</w:t>
            </w:r>
          </w:p>
        </w:tc>
      </w:tr>
      <w:tr>
        <w:tc>
          <w:tcPr>
            <w:tcW w:type="dxa" w:w="2800"/>
            <w:tcBorders>
              <w:top w:val="single" w:color="CCCCCC" w:sz="1"/>
              <w:left w:val="single" w:color="CCCCCC" w:sz="1"/>
              <w:bottom w:val="single" w:color="CCCCCC" w:sz="1"/>
              <w:right w:val="single" w:color="CCCCCC" w:sz="1"/>
            </w:tcBorders>
            <w:shd w:fill="E7F0F9"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Tim HR/Operasional</w:t>
            </w:r>
          </w:p>
        </w:tc>
        <w:tc>
          <w:tcPr>
            <w:tcW w:type="dxa" w:w="32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Pelatihan karyawan, pengelolaan data SDM, sosialisasi</w:t>
            </w:r>
          </w:p>
        </w:tc>
        <w:tc>
          <w:tcPr>
            <w:tcW w:type="dxa" w:w="336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HR Manager / Unit Operasional</w:t>
            </w:r>
          </w:p>
        </w:tc>
      </w:tr>
      <w:tr>
        <w:tc>
          <w:tcPr>
            <w:tcW w:type="dxa" w:w="2800"/>
            <w:tcBorders>
              <w:top w:val="single" w:color="CCCCCC" w:sz="1"/>
              <w:left w:val="single" w:color="CCCCCC" w:sz="1"/>
              <w:bottom w:val="single" w:color="CCCCCC" w:sz="1"/>
              <w:right w:val="single" w:color="CCCCCC" w:sz="1"/>
            </w:tcBorders>
            <w:shd w:fill="E7F0F9"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Unit Bisnis (Champion)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Pelaksana kepatuhan di lini operasional masing-masing unit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Perwakilan setiap departemen</w:t>
            </w:r>
          </w:p>
        </w:tc>
      </w:tr>
    </w:tbl>
    <w:p>
      <w:pPr>
        <w:spacing w:before="60" w:after="60"/>
      </w:pPr>
      <w:r>
        <w:t xml:space="preserve"/>
      </w:r>
    </w:p>
    <w:p>
      <w:pPr>
        <w:pStyle w:val="Heading1"/>
        <w:spacing w:before="320" w:after="160"/>
      </w:pPr>
      <w:r>
        <w:rPr>
          <w:rFonts w:ascii="Arial" w:cs="Arial" w:eastAsia="Arial" w:hAnsi="Arial"/>
          <w:b/>
          <w:bCs/>
          <w:color w:val="1F4E79"/>
          <w:sz w:val="28"/>
          <w:szCs w:val="28"/>
        </w:rPr>
        <w:t xml:space="preserve">4. Rencana Implementasi — 6 Fase</w:t>
      </w:r>
    </w:p>
    <w:p>
      <w:pPr>
        <w:spacing w:before="60" w:after="60"/>
      </w:pPr>
      <w:r>
        <w:rPr>
          <w:rFonts w:ascii="Arial" w:cs="Arial" w:eastAsia="Arial" w:hAnsi="Arial"/>
          <w:sz w:val="20"/>
          <w:szCs w:val="20"/>
        </w:rPr>
        <w:t xml:space="preserve">Program implementasi dibagi menjadi 6 fase dengan total durasi 12 bulan. Setiap fase memiliki deliverable yang jelas dan terukur.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1F4E79" w:val="clear"/>
            <w:tcMar>
              <w:top w:type="dxa" w:w="120"/>
              <w:left w:type="dxa" w:w="200"/>
              <w:bottom w:type="dxa" w:w="120"/>
              <w:right w:type="dxa" w:w="200"/>
            </w:tcMar>
          </w:tcPr>
          <w:p>
            <w:r>
              <w:rPr>
                <w:rFonts w:ascii="Arial" w:cs="Arial" w:eastAsia="Arial" w:hAnsi="Arial"/>
                <w:b/>
                <w:bCs/>
                <w:color w:val="FFFFFF"/>
                <w:sz w:val="24"/>
                <w:szCs w:val="24"/>
              </w:rPr>
              <w:t xml:space="preserve">Fase 1: Pembentukan Fondasi &amp; Tata Kelola</w:t>
            </w:r>
            <w:r>
              <w:rPr>
                <w:rFonts w:ascii="Arial" w:cs="Arial" w:eastAsia="Arial" w:hAnsi="Arial"/>
                <w:color w:val="DDDDDD"/>
                <w:sz w:val="18"/>
                <w:szCs w:val="18"/>
              </w:rPr>
              <w:t xml:space="preserve">   |   Bulan 1–2   |   Acuan: Pasal 53, 54, 47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Tujuan</w:t>
            </w:r>
          </w:p>
        </w:tc>
        <w:tc>
          <w:tcPr>
            <w:tcW w:type="dxa" w:w="7160"/>
            <w:tcBorders>
              <w:top w:val="single" w:color="CCCCCC" w:sz="1"/>
              <w:left w:val="single" w:color="CCCCCC" w:sz="1"/>
              <w:bottom w:val="single" w:color="CCCCCC" w:sz="1"/>
              <w:right w:val="single" w:color="CCCCCC" w:sz="1"/>
            </w:tcBorders>
            <w:shd w:fill="F9FBFD"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Menetapkan struktur organisasi, kepemimpinan, dan kebijakan dasar pelindungan data pribadi.</w:t>
            </w:r>
          </w:p>
        </w:tc>
      </w:tr>
      <w:tr>
        <w:tc>
          <w:tcPr>
            <w:tcW w:type="dxa" w:w="220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Kegiatan Utama</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pStyle w:val="ListParagraph"/>
              <w:numPr>
                <w:ilvl w:val="0"/>
                <w:numId w:val="3"/>
              </w:numPr>
              <w:spacing w:before="30" w:after="30"/>
            </w:pPr>
            <w:r>
              <w:rPr>
                <w:rFonts w:ascii="Arial" w:cs="Arial" w:eastAsia="Arial" w:hAnsi="Arial"/>
                <w:sz w:val="18"/>
                <w:szCs w:val="18"/>
              </w:rPr>
              <w:t xml:space="preserve">Identifikasi dan tunjuk Pejabat/Petugas Pelindungan Data Pribadi (DPO)</w:t>
            </w:r>
          </w:p>
          <w:p>
            <w:pPr>
              <w:pStyle w:val="ListParagraph"/>
              <w:numPr>
                <w:ilvl w:val="0"/>
                <w:numId w:val="3"/>
              </w:numPr>
              <w:spacing w:before="30" w:after="30"/>
            </w:pPr>
            <w:r>
              <w:rPr>
                <w:rFonts w:ascii="Arial" w:cs="Arial" w:eastAsia="Arial" w:hAnsi="Arial"/>
                <w:sz w:val="18"/>
                <w:szCs w:val="18"/>
              </w:rPr>
              <w:t xml:space="preserve">Bentuk Tim/Komite PDP lintas fungsi (Legal, IT, HR, Operasional)</w:t>
            </w:r>
          </w:p>
          <w:p>
            <w:pPr>
              <w:pStyle w:val="ListParagraph"/>
              <w:numPr>
                <w:ilvl w:val="0"/>
                <w:numId w:val="3"/>
              </w:numPr>
              <w:spacing w:before="30" w:after="30"/>
            </w:pPr>
            <w:r>
              <w:rPr>
                <w:rFonts w:ascii="Arial" w:cs="Arial" w:eastAsia="Arial" w:hAnsi="Arial"/>
                <w:sz w:val="18"/>
                <w:szCs w:val="18"/>
              </w:rPr>
              <w:t xml:space="preserve">Susun dan sahkan Kebijakan Pelindungan Data Pribadi</w:t>
            </w:r>
          </w:p>
          <w:p>
            <w:pPr>
              <w:pStyle w:val="ListParagraph"/>
              <w:numPr>
                <w:ilvl w:val="0"/>
                <w:numId w:val="3"/>
              </w:numPr>
              <w:spacing w:before="30" w:after="30"/>
            </w:pPr>
            <w:r>
              <w:rPr>
                <w:rFonts w:ascii="Arial" w:cs="Arial" w:eastAsia="Arial" w:hAnsi="Arial"/>
                <w:sz w:val="18"/>
                <w:szCs w:val="18"/>
              </w:rPr>
              <w:t xml:space="preserve">Sosialisasi awal kepada jajaran manajemen senior</w:t>
            </w:r>
          </w:p>
          <w:p>
            <w:pPr>
              <w:pStyle w:val="ListParagraph"/>
              <w:numPr>
                <w:ilvl w:val="0"/>
                <w:numId w:val="3"/>
              </w:numPr>
              <w:spacing w:before="30" w:after="30"/>
            </w:pPr>
            <w:r>
              <w:rPr>
                <w:rFonts w:ascii="Arial" w:cs="Arial" w:eastAsia="Arial" w:hAnsi="Arial"/>
                <w:sz w:val="18"/>
                <w:szCs w:val="18"/>
              </w:rPr>
              <w:t xml:space="preserve">Alokasikan anggaran dan sumber daya program PDP</w:t>
            </w:r>
          </w:p>
        </w:tc>
      </w:tr>
      <w:tr>
        <w:tc>
          <w:tcPr>
            <w:tcW w:type="dxa" w:w="220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Deliverable</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pStyle w:val="ListParagraph"/>
              <w:numPr>
                <w:ilvl w:val="0"/>
                <w:numId w:val="2"/>
              </w:numPr>
              <w:spacing w:before="30" w:after="30"/>
            </w:pPr>
            <w:r>
              <w:rPr>
                <w:rFonts w:ascii="Arial" w:cs="Arial" w:eastAsia="Arial" w:hAnsi="Arial"/>
                <w:sz w:val="18"/>
                <w:szCs w:val="18"/>
              </w:rPr>
              <w:t xml:space="preserve">SK Penetapan Pejabat/Petugas PDP (DPO)</w:t>
            </w:r>
          </w:p>
          <w:p>
            <w:pPr>
              <w:pStyle w:val="ListParagraph"/>
              <w:numPr>
                <w:ilvl w:val="0"/>
                <w:numId w:val="2"/>
              </w:numPr>
              <w:spacing w:before="30" w:after="30"/>
            </w:pPr>
            <w:r>
              <w:rPr>
                <w:rFonts w:ascii="Arial" w:cs="Arial" w:eastAsia="Arial" w:hAnsi="Arial"/>
                <w:sz w:val="18"/>
                <w:szCs w:val="18"/>
              </w:rPr>
              <w:t xml:space="preserve">Kebijakan Pelindungan Data Pribadi (Privacy Policy Internal)</w:t>
            </w:r>
          </w:p>
          <w:p>
            <w:pPr>
              <w:pStyle w:val="ListParagraph"/>
              <w:numPr>
                <w:ilvl w:val="0"/>
                <w:numId w:val="2"/>
              </w:numPr>
              <w:spacing w:before="30" w:after="30"/>
            </w:pPr>
            <w:r>
              <w:rPr>
                <w:rFonts w:ascii="Arial" w:cs="Arial" w:eastAsia="Arial" w:hAnsi="Arial"/>
                <w:sz w:val="18"/>
                <w:szCs w:val="18"/>
              </w:rPr>
              <w:t xml:space="preserve">Kebijakan Tata Kelola PDP (peran, tanggung jawab, eskalasi)</w:t>
            </w:r>
          </w:p>
          <w:p>
            <w:pPr>
              <w:pStyle w:val="ListParagraph"/>
              <w:numPr>
                <w:ilvl w:val="0"/>
                <w:numId w:val="2"/>
              </w:numPr>
              <w:spacing w:before="30" w:after="30"/>
            </w:pPr>
            <w:r>
              <w:rPr>
                <w:rFonts w:ascii="Arial" w:cs="Arial" w:eastAsia="Arial" w:hAnsi="Arial"/>
                <w:sz w:val="18"/>
                <w:szCs w:val="18"/>
              </w:rPr>
              <w:t xml:space="preserve">Struktur Komite/Tim PDP lintas fungsi</w:t>
            </w:r>
          </w:p>
          <w:p>
            <w:pPr>
              <w:pStyle w:val="ListParagraph"/>
              <w:numPr>
                <w:ilvl w:val="0"/>
                <w:numId w:val="2"/>
              </w:numPr>
              <w:spacing w:before="30" w:after="30"/>
            </w:pPr>
            <w:r>
              <w:rPr>
                <w:rFonts w:ascii="Arial" w:cs="Arial" w:eastAsia="Arial" w:hAnsi="Arial"/>
                <w:sz w:val="18"/>
                <w:szCs w:val="18"/>
              </w:rPr>
              <w:t xml:space="preserve">Anggaran dan rencana sumber daya program PDP</w:t>
            </w:r>
          </w:p>
        </w:tc>
      </w:tr>
      <w:tr>
        <w:tc>
          <w:tcPr>
            <w:tcW w:type="dxa" w:w="220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Penanggung Jawab</w:t>
            </w:r>
          </w:p>
        </w:tc>
        <w:tc>
          <w:tcPr>
            <w:tcW w:type="dxa" w:w="7160"/>
            <w:tcBorders>
              <w:top w:val="single" w:color="CCCCCC" w:sz="1"/>
              <w:left w:val="single" w:color="CCCCCC" w:sz="1"/>
              <w:bottom w:val="single" w:color="CCCCCC" w:sz="1"/>
              <w:right w:val="single" w:color="CCCCCC" w:sz="1"/>
            </w:tcBorders>
            <w:shd w:fill="F9FBFD"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Direksi / Tim Legal</w:t>
            </w:r>
          </w:p>
        </w:tc>
      </w:tr>
      <w:tr>
        <w:tc>
          <w:tcPr>
            <w:tcW w:type="dxa" w:w="220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Prioritas</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FF0000"/>
                <w:sz w:val="18"/>
                <w:szCs w:val="18"/>
              </w:rPr>
              <w:t xml:space="preserve">Prioritas Tinggi</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2E75B6" w:val="clear"/>
            <w:tcMar>
              <w:top w:type="dxa" w:w="120"/>
              <w:left w:type="dxa" w:w="200"/>
              <w:bottom w:type="dxa" w:w="120"/>
              <w:right w:type="dxa" w:w="200"/>
            </w:tcMar>
          </w:tcPr>
          <w:p>
            <w:r>
              <w:rPr>
                <w:rFonts w:ascii="Arial" w:cs="Arial" w:eastAsia="Arial" w:hAnsi="Arial"/>
                <w:b/>
                <w:bCs/>
                <w:color w:val="FFFFFF"/>
                <w:sz w:val="24"/>
                <w:szCs w:val="24"/>
              </w:rPr>
              <w:t xml:space="preserve">Fase 2: Inventarisasi &amp; Pemetaan Data (RoPA)</w:t>
            </w:r>
            <w:r>
              <w:rPr>
                <w:rFonts w:ascii="Arial" w:cs="Arial" w:eastAsia="Arial" w:hAnsi="Arial"/>
                <w:color w:val="DDDDDD"/>
                <w:sz w:val="18"/>
                <w:szCs w:val="18"/>
              </w:rPr>
              <w:t xml:space="preserve">   |   Bulan 2–3   |   Acuan: Pasal 16, 19, 20, 27, 31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Tujuan</w:t>
            </w:r>
          </w:p>
        </w:tc>
        <w:tc>
          <w:tcPr>
            <w:tcW w:type="dxa" w:w="7160"/>
            <w:tcBorders>
              <w:top w:val="single" w:color="CCCCCC" w:sz="1"/>
              <w:left w:val="single" w:color="CCCCCC" w:sz="1"/>
              <w:bottom w:val="single" w:color="CCCCCC" w:sz="1"/>
              <w:right w:val="single" w:color="CCCCCC" w:sz="1"/>
            </w:tcBorders>
            <w:shd w:fill="F9FBFD"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Mengidentifikasi seluruh data pribadi yang diproses, dasar hukum, dan aliran datanya.</w:t>
            </w:r>
          </w:p>
        </w:tc>
      </w:tr>
      <w:tr>
        <w:tc>
          <w:tcPr>
            <w:tcW w:type="dxa" w:w="220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Kegiatan Utama</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pStyle w:val="ListParagraph"/>
              <w:numPr>
                <w:ilvl w:val="0"/>
                <w:numId w:val="3"/>
              </w:numPr>
              <w:spacing w:before="30" w:after="30"/>
            </w:pPr>
            <w:r>
              <w:rPr>
                <w:rFonts w:ascii="Arial" w:cs="Arial" w:eastAsia="Arial" w:hAnsi="Arial"/>
                <w:sz w:val="18"/>
                <w:szCs w:val="18"/>
              </w:rPr>
              <w:t xml:space="preserve">Lakukan workshop data discovery dengan seluruh unit bisnis</w:t>
            </w:r>
          </w:p>
          <w:p>
            <w:pPr>
              <w:pStyle w:val="ListParagraph"/>
              <w:numPr>
                <w:ilvl w:val="0"/>
                <w:numId w:val="3"/>
              </w:numPr>
              <w:spacing w:before="30" w:after="30"/>
            </w:pPr>
            <w:r>
              <w:rPr>
                <w:rFonts w:ascii="Arial" w:cs="Arial" w:eastAsia="Arial" w:hAnsi="Arial"/>
                <w:sz w:val="18"/>
                <w:szCs w:val="18"/>
              </w:rPr>
              <w:t xml:space="preserve">Identifikasi semua jenis data pribadi yang dikumpulkan, disimpan, diproses</w:t>
            </w:r>
          </w:p>
          <w:p>
            <w:pPr>
              <w:pStyle w:val="ListParagraph"/>
              <w:numPr>
                <w:ilvl w:val="0"/>
                <w:numId w:val="3"/>
              </w:numPr>
              <w:spacing w:before="30" w:after="30"/>
            </w:pPr>
            <w:r>
              <w:rPr>
                <w:rFonts w:ascii="Arial" w:cs="Arial" w:eastAsia="Arial" w:hAnsi="Arial"/>
                <w:sz w:val="18"/>
                <w:szCs w:val="18"/>
              </w:rPr>
              <w:t xml:space="preserve">Dokumentasikan dasar hukum pemrosesan setiap kategori data</w:t>
            </w:r>
          </w:p>
          <w:p>
            <w:pPr>
              <w:pStyle w:val="ListParagraph"/>
              <w:numPr>
                <w:ilvl w:val="0"/>
                <w:numId w:val="3"/>
              </w:numPr>
              <w:spacing w:before="30" w:after="30"/>
            </w:pPr>
            <w:r>
              <w:rPr>
                <w:rFonts w:ascii="Arial" w:cs="Arial" w:eastAsia="Arial" w:hAnsi="Arial"/>
                <w:sz w:val="18"/>
                <w:szCs w:val="18"/>
              </w:rPr>
              <w:t xml:space="preserve">Petakan aliran data: dari mana datang, ke mana pergi, berapa lama disimpan</w:t>
            </w:r>
          </w:p>
          <w:p>
            <w:pPr>
              <w:pStyle w:val="ListParagraph"/>
              <w:numPr>
                <w:ilvl w:val="0"/>
                <w:numId w:val="3"/>
              </w:numPr>
              <w:spacing w:before="30" w:after="30"/>
            </w:pPr>
            <w:r>
              <w:rPr>
                <w:rFonts w:ascii="Arial" w:cs="Arial" w:eastAsia="Arial" w:hAnsi="Arial"/>
                <w:sz w:val="18"/>
                <w:szCs w:val="18"/>
              </w:rPr>
              <w:t xml:space="preserve">Identifikasi vendor/prosesor pihak ketiga yang mengelola data</w:t>
            </w:r>
          </w:p>
          <w:p>
            <w:pPr>
              <w:pStyle w:val="ListParagraph"/>
              <w:numPr>
                <w:ilvl w:val="0"/>
                <w:numId w:val="3"/>
              </w:numPr>
              <w:spacing w:before="30" w:after="30"/>
            </w:pPr>
            <w:r>
              <w:rPr>
                <w:rFonts w:ascii="Arial" w:cs="Arial" w:eastAsia="Arial" w:hAnsi="Arial"/>
                <w:sz w:val="18"/>
                <w:szCs w:val="18"/>
              </w:rPr>
              <w:t xml:space="preserve">Buat dan finalisasi dokumen RoPA</w:t>
            </w:r>
          </w:p>
        </w:tc>
      </w:tr>
      <w:tr>
        <w:tc>
          <w:tcPr>
            <w:tcW w:type="dxa" w:w="220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Deliverable</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pStyle w:val="ListParagraph"/>
              <w:numPr>
                <w:ilvl w:val="0"/>
                <w:numId w:val="2"/>
              </w:numPr>
              <w:spacing w:before="30" w:after="30"/>
            </w:pPr>
            <w:r>
              <w:rPr>
                <w:rFonts w:ascii="Arial" w:cs="Arial" w:eastAsia="Arial" w:hAnsi="Arial"/>
                <w:sz w:val="18"/>
                <w:szCs w:val="18"/>
              </w:rPr>
              <w:t xml:space="preserve">Register Kegiatan Pemrosesan (Record of Processing Activities / RoPA)</w:t>
            </w:r>
          </w:p>
          <w:p>
            <w:pPr>
              <w:pStyle w:val="ListParagraph"/>
              <w:numPr>
                <w:ilvl w:val="0"/>
                <w:numId w:val="2"/>
              </w:numPr>
              <w:spacing w:before="30" w:after="30"/>
            </w:pPr>
            <w:r>
              <w:rPr>
                <w:rFonts w:ascii="Arial" w:cs="Arial" w:eastAsia="Arial" w:hAnsi="Arial"/>
                <w:sz w:val="18"/>
                <w:szCs w:val="18"/>
              </w:rPr>
              <w:t xml:space="preserve">Data Inventory / Peta Aliran Data (Data Mapping)</w:t>
            </w:r>
          </w:p>
          <w:p>
            <w:pPr>
              <w:pStyle w:val="ListParagraph"/>
              <w:numPr>
                <w:ilvl w:val="0"/>
                <w:numId w:val="2"/>
              </w:numPr>
              <w:spacing w:before="30" w:after="30"/>
            </w:pPr>
            <w:r>
              <w:rPr>
                <w:rFonts w:ascii="Arial" w:cs="Arial" w:eastAsia="Arial" w:hAnsi="Arial"/>
                <w:sz w:val="18"/>
                <w:szCs w:val="18"/>
              </w:rPr>
              <w:t xml:space="preserve">Matriks: Data – Tujuan – Dasar Hukum – Retensi – Kontrol</w:t>
            </w:r>
          </w:p>
          <w:p>
            <w:pPr>
              <w:pStyle w:val="ListParagraph"/>
              <w:numPr>
                <w:ilvl w:val="0"/>
                <w:numId w:val="2"/>
              </w:numPr>
              <w:spacing w:before="30" w:after="30"/>
            </w:pPr>
            <w:r>
              <w:rPr>
                <w:rFonts w:ascii="Arial" w:cs="Arial" w:eastAsia="Arial" w:hAnsi="Arial"/>
                <w:sz w:val="18"/>
                <w:szCs w:val="18"/>
              </w:rPr>
              <w:t xml:space="preserve">Klasifikasi data pribadi (umum vs. spesifik/sensitif)</w:t>
            </w:r>
          </w:p>
          <w:p>
            <w:pPr>
              <w:pStyle w:val="ListParagraph"/>
              <w:numPr>
                <w:ilvl w:val="0"/>
                <w:numId w:val="2"/>
              </w:numPr>
              <w:spacing w:before="30" w:after="30"/>
            </w:pPr>
            <w:r>
              <w:rPr>
                <w:rFonts w:ascii="Arial" w:cs="Arial" w:eastAsia="Arial" w:hAnsi="Arial"/>
                <w:sz w:val="18"/>
                <w:szCs w:val="18"/>
              </w:rPr>
              <w:t xml:space="preserve">Identifikasi prosesor data dan vendor pihak ketiga</w:t>
            </w:r>
          </w:p>
        </w:tc>
      </w:tr>
      <w:tr>
        <w:tc>
          <w:tcPr>
            <w:tcW w:type="dxa" w:w="220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Penanggung Jawab</w:t>
            </w:r>
          </w:p>
        </w:tc>
        <w:tc>
          <w:tcPr>
            <w:tcW w:type="dxa" w:w="7160"/>
            <w:tcBorders>
              <w:top w:val="single" w:color="CCCCCC" w:sz="1"/>
              <w:left w:val="single" w:color="CCCCCC" w:sz="1"/>
              <w:bottom w:val="single" w:color="CCCCCC" w:sz="1"/>
              <w:right w:val="single" w:color="CCCCCC" w:sz="1"/>
            </w:tcBorders>
            <w:shd w:fill="F9FBFD"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DPO / Tim IT &amp; Bisnis</w:t>
            </w:r>
          </w:p>
        </w:tc>
      </w:tr>
      <w:tr>
        <w:tc>
          <w:tcPr>
            <w:tcW w:type="dxa" w:w="220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Prioritas</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FF0000"/>
                <w:sz w:val="18"/>
                <w:szCs w:val="18"/>
              </w:rPr>
              <w:t xml:space="preserve">Prioritas Tinggi</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0070C0" w:val="clear"/>
            <w:tcMar>
              <w:top w:type="dxa" w:w="120"/>
              <w:left w:type="dxa" w:w="200"/>
              <w:bottom w:type="dxa" w:w="120"/>
              <w:right w:type="dxa" w:w="200"/>
            </w:tcMar>
          </w:tcPr>
          <w:p>
            <w:r>
              <w:rPr>
                <w:rFonts w:ascii="Arial" w:cs="Arial" w:eastAsia="Arial" w:hAnsi="Arial"/>
                <w:b/>
                <w:bCs/>
                <w:color w:val="FFFFFF"/>
                <w:sz w:val="24"/>
                <w:szCs w:val="24"/>
              </w:rPr>
              <w:t xml:space="preserve">Fase 3: Persetujuan, Transparansi &amp; Hak Subjek Data</w:t>
            </w:r>
            <w:r>
              <w:rPr>
                <w:rFonts w:ascii="Arial" w:cs="Arial" w:eastAsia="Arial" w:hAnsi="Arial"/>
                <w:color w:val="DDDDDD"/>
                <w:sz w:val="18"/>
                <w:szCs w:val="18"/>
              </w:rPr>
              <w:t xml:space="preserve">   |   Bulan 3–5   |   Acuan: Pasal 5–15,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Tujuan</w:t>
            </w:r>
          </w:p>
        </w:tc>
        <w:tc>
          <w:tcPr>
            <w:tcW w:type="dxa" w:w="7160"/>
            <w:tcBorders>
              <w:top w:val="single" w:color="CCCCCC" w:sz="1"/>
              <w:left w:val="single" w:color="CCCCCC" w:sz="1"/>
              <w:bottom w:val="single" w:color="CCCCCC" w:sz="1"/>
              <w:right w:val="single" w:color="CCCCCC" w:sz="1"/>
            </w:tcBorders>
            <w:shd w:fill="F9FBFD"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Memastikan mekanisme persetujuan yang sah, informasi yang transparan, dan prosedur pemenuhan hak subjek data.</w:t>
            </w:r>
          </w:p>
        </w:tc>
      </w:tr>
      <w:tr>
        <w:tc>
          <w:tcPr>
            <w:tcW w:type="dxa" w:w="220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Kegiatan Utama</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pStyle w:val="ListParagraph"/>
              <w:numPr>
                <w:ilvl w:val="0"/>
                <w:numId w:val="3"/>
              </w:numPr>
              <w:spacing w:before="30" w:after="30"/>
            </w:pPr>
            <w:r>
              <w:rPr>
                <w:rFonts w:ascii="Arial" w:cs="Arial" w:eastAsia="Arial" w:hAnsi="Arial"/>
                <w:sz w:val="18"/>
                <w:szCs w:val="18"/>
              </w:rPr>
              <w:t xml:space="preserve">Review dan revisi Privacy Notice agar memenuhi Pasal 5 &amp; 21</w:t>
            </w:r>
          </w:p>
          <w:p>
            <w:pPr>
              <w:pStyle w:val="ListParagraph"/>
              <w:numPr>
                <w:ilvl w:val="0"/>
                <w:numId w:val="3"/>
              </w:numPr>
              <w:spacing w:before="30" w:after="30"/>
            </w:pPr>
            <w:r>
              <w:rPr>
                <w:rFonts w:ascii="Arial" w:cs="Arial" w:eastAsia="Arial" w:hAnsi="Arial"/>
                <w:sz w:val="18"/>
                <w:szCs w:val="18"/>
              </w:rPr>
              <w:t xml:space="preserve">Audit formulir persetujuan — pastikan tidak implisit (Pasal 22, 23)</w:t>
            </w:r>
          </w:p>
          <w:p>
            <w:pPr>
              <w:pStyle w:val="ListParagraph"/>
              <w:numPr>
                <w:ilvl w:val="0"/>
                <w:numId w:val="3"/>
              </w:numPr>
              <w:spacing w:before="30" w:after="30"/>
            </w:pPr>
            <w:r>
              <w:rPr>
                <w:rFonts w:ascii="Arial" w:cs="Arial" w:eastAsia="Arial" w:hAnsi="Arial"/>
                <w:sz w:val="18"/>
                <w:szCs w:val="18"/>
              </w:rPr>
              <w:t xml:space="preserve">Buat mekanisme digital/fisik untuk penarikan consent (Pasal 9)</w:t>
            </w:r>
          </w:p>
          <w:p>
            <w:pPr>
              <w:pStyle w:val="ListParagraph"/>
              <w:numPr>
                <w:ilvl w:val="0"/>
                <w:numId w:val="3"/>
              </w:numPr>
              <w:spacing w:before="30" w:after="30"/>
            </w:pPr>
            <w:r>
              <w:rPr>
                <w:rFonts w:ascii="Arial" w:cs="Arial" w:eastAsia="Arial" w:hAnsi="Arial"/>
                <w:sz w:val="18"/>
                <w:szCs w:val="18"/>
              </w:rPr>
              <w:t xml:space="preserve">Rancang SOP dan formulir permintaan hak subjek data (Pasal 7, 8, 13)</w:t>
            </w:r>
          </w:p>
          <w:p>
            <w:pPr>
              <w:pStyle w:val="ListParagraph"/>
              <w:numPr>
                <w:ilvl w:val="0"/>
                <w:numId w:val="3"/>
              </w:numPr>
              <w:spacing w:before="30" w:after="30"/>
            </w:pPr>
            <w:r>
              <w:rPr>
                <w:rFonts w:ascii="Arial" w:cs="Arial" w:eastAsia="Arial" w:hAnsi="Arial"/>
                <w:sz w:val="18"/>
                <w:szCs w:val="18"/>
              </w:rPr>
              <w:t xml:space="preserve">Tetapkan SLA untuk setiap jenis permohonan hak</w:t>
            </w:r>
          </w:p>
          <w:p>
            <w:pPr>
              <w:pStyle w:val="ListParagraph"/>
              <w:numPr>
                <w:ilvl w:val="0"/>
                <w:numId w:val="3"/>
              </w:numPr>
              <w:spacing w:before="30" w:after="30"/>
            </w:pPr>
            <w:r>
              <w:rPr>
                <w:rFonts w:ascii="Arial" w:cs="Arial" w:eastAsia="Arial" w:hAnsi="Arial"/>
                <w:sz w:val="18"/>
                <w:szCs w:val="18"/>
              </w:rPr>
              <w:t xml:space="preserve">Buat mekanisme pencatatan setiap permohonan (Pasal 14)</w:t>
            </w:r>
          </w:p>
          <w:p>
            <w:pPr>
              <w:pStyle w:val="ListParagraph"/>
              <w:numPr>
                <w:ilvl w:val="0"/>
                <w:numId w:val="3"/>
              </w:numPr>
              <w:spacing w:before="30" w:after="30"/>
            </w:pPr>
            <w:r>
              <w:rPr>
                <w:rFonts w:ascii="Arial" w:cs="Arial" w:eastAsia="Arial" w:hAnsi="Arial"/>
                <w:sz w:val="18"/>
                <w:szCs w:val="18"/>
              </w:rPr>
              <w:t xml:space="preserve">Atur prosedur khusus data anak (Pasal 25) dan penyandang disabilitas (Pasal 26)</w:t>
            </w:r>
          </w:p>
        </w:tc>
      </w:tr>
      <w:tr>
        <w:tc>
          <w:tcPr>
            <w:tcW w:type="dxa" w:w="220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Deliverable</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pStyle w:val="ListParagraph"/>
              <w:numPr>
                <w:ilvl w:val="0"/>
                <w:numId w:val="2"/>
              </w:numPr>
              <w:spacing w:before="30" w:after="30"/>
            </w:pPr>
            <w:r>
              <w:rPr>
                <w:rFonts w:ascii="Arial" w:cs="Arial" w:eastAsia="Arial" w:hAnsi="Arial"/>
                <w:sz w:val="18"/>
                <w:szCs w:val="18"/>
              </w:rPr>
              <w:t xml:space="preserve">Privacy Notice / Kebijakan Privasi yang dipublikasikan</w:t>
            </w:r>
          </w:p>
          <w:p>
            <w:pPr>
              <w:pStyle w:val="ListParagraph"/>
              <w:numPr>
                <w:ilvl w:val="0"/>
                <w:numId w:val="2"/>
              </w:numPr>
              <w:spacing w:before="30" w:after="30"/>
            </w:pPr>
            <w:r>
              <w:rPr>
                <w:rFonts w:ascii="Arial" w:cs="Arial" w:eastAsia="Arial" w:hAnsi="Arial"/>
                <w:sz w:val="18"/>
                <w:szCs w:val="18"/>
              </w:rPr>
              <w:t xml:space="preserve">Formulir/mekanisme persetujuan (consent form) yang valid</w:t>
            </w:r>
          </w:p>
          <w:p>
            <w:pPr>
              <w:pStyle w:val="ListParagraph"/>
              <w:numPr>
                <w:ilvl w:val="0"/>
                <w:numId w:val="2"/>
              </w:numPr>
              <w:spacing w:before="30" w:after="30"/>
            </w:pPr>
            <w:r>
              <w:rPr>
                <w:rFonts w:ascii="Arial" w:cs="Arial" w:eastAsia="Arial" w:hAnsi="Arial"/>
                <w:sz w:val="18"/>
                <w:szCs w:val="18"/>
              </w:rPr>
              <w:t xml:space="preserve">SOP Pemenuhan Hak Subjek Data Pribadi (akses, koreksi, hapus, portabilitas, keberatan)</w:t>
            </w:r>
          </w:p>
          <w:p>
            <w:pPr>
              <w:pStyle w:val="ListParagraph"/>
              <w:numPr>
                <w:ilvl w:val="0"/>
                <w:numId w:val="2"/>
              </w:numPr>
              <w:spacing w:before="30" w:after="30"/>
            </w:pPr>
            <w:r>
              <w:rPr>
                <w:rFonts w:ascii="Arial" w:cs="Arial" w:eastAsia="Arial" w:hAnsi="Arial"/>
                <w:sz w:val="18"/>
                <w:szCs w:val="18"/>
              </w:rPr>
              <w:t xml:space="preserve">Register Permohonan Hak Subjek Data + SLA</w:t>
            </w:r>
          </w:p>
          <w:p>
            <w:pPr>
              <w:pStyle w:val="ListParagraph"/>
              <w:numPr>
                <w:ilvl w:val="0"/>
                <w:numId w:val="2"/>
              </w:numPr>
              <w:spacing w:before="30" w:after="30"/>
            </w:pPr>
            <w:r>
              <w:rPr>
                <w:rFonts w:ascii="Arial" w:cs="Arial" w:eastAsia="Arial" w:hAnsi="Arial"/>
                <w:sz w:val="18"/>
                <w:szCs w:val="18"/>
              </w:rPr>
              <w:t xml:space="preserve">Mekanisme penarikan persetujuan yang mudah diakses</w:t>
            </w:r>
          </w:p>
        </w:tc>
      </w:tr>
      <w:tr>
        <w:tc>
          <w:tcPr>
            <w:tcW w:type="dxa" w:w="220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Penanggung Jawab</w:t>
            </w:r>
          </w:p>
        </w:tc>
        <w:tc>
          <w:tcPr>
            <w:tcW w:type="dxa" w:w="7160"/>
            <w:tcBorders>
              <w:top w:val="single" w:color="CCCCCC" w:sz="1"/>
              <w:left w:val="single" w:color="CCCCCC" w:sz="1"/>
              <w:bottom w:val="single" w:color="CCCCCC" w:sz="1"/>
              <w:right w:val="single" w:color="CCCCCC" w:sz="1"/>
            </w:tcBorders>
            <w:shd w:fill="F9FBFD"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DPO / Legal / IT</w:t>
            </w:r>
          </w:p>
        </w:tc>
      </w:tr>
      <w:tr>
        <w:tc>
          <w:tcPr>
            <w:tcW w:type="dxa" w:w="220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Prioritas</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FF0000"/>
                <w:sz w:val="18"/>
                <w:szCs w:val="18"/>
              </w:rPr>
              <w:t xml:space="preserve">Prioritas Tinggi</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00B0F0" w:val="clear"/>
            <w:tcMar>
              <w:top w:type="dxa" w:w="120"/>
              <w:left w:type="dxa" w:w="200"/>
              <w:bottom w:type="dxa" w:w="120"/>
              <w:right w:type="dxa" w:w="200"/>
            </w:tcMar>
          </w:tcPr>
          <w:p>
            <w:r>
              <w:rPr>
                <w:rFonts w:ascii="Arial" w:cs="Arial" w:eastAsia="Arial" w:hAnsi="Arial"/>
                <w:b/>
                <w:bCs/>
                <w:color w:val="FFFFFF"/>
                <w:sz w:val="24"/>
                <w:szCs w:val="24"/>
              </w:rPr>
              <w:t xml:space="preserve">Fase 4: Keamanan Data &amp; Manajemen Insiden</w:t>
            </w:r>
            <w:r>
              <w:rPr>
                <w:rFonts w:ascii="Arial" w:cs="Arial" w:eastAsia="Arial" w:hAnsi="Arial"/>
                <w:color w:val="DDDDDD"/>
                <w:sz w:val="18"/>
                <w:szCs w:val="18"/>
              </w:rPr>
              <w:t xml:space="preserve">   |   Bulan 4–6   |   Acuan: Pasal 35–39, 46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Tujuan</w:t>
            </w:r>
          </w:p>
        </w:tc>
        <w:tc>
          <w:tcPr>
            <w:tcW w:type="dxa" w:w="7160"/>
            <w:tcBorders>
              <w:top w:val="single" w:color="CCCCCC" w:sz="1"/>
              <w:left w:val="single" w:color="CCCCCC" w:sz="1"/>
              <w:bottom w:val="single" w:color="CCCCCC" w:sz="1"/>
              <w:right w:val="single" w:color="CCCCCC" w:sz="1"/>
            </w:tcBorders>
            <w:shd w:fill="F9FBFD"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Menerapkan kontrol keamanan teknis dan prosedural, serta kesiapan respons insiden kebocoran data.</w:t>
            </w:r>
          </w:p>
        </w:tc>
      </w:tr>
      <w:tr>
        <w:tc>
          <w:tcPr>
            <w:tcW w:type="dxa" w:w="220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Kegiatan Utama</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pStyle w:val="ListParagraph"/>
              <w:numPr>
                <w:ilvl w:val="0"/>
                <w:numId w:val="3"/>
              </w:numPr>
              <w:spacing w:before="30" w:after="30"/>
            </w:pPr>
            <w:r>
              <w:rPr>
                <w:rFonts w:ascii="Arial" w:cs="Arial" w:eastAsia="Arial" w:hAnsi="Arial"/>
                <w:sz w:val="18"/>
                <w:szCs w:val="18"/>
              </w:rPr>
              <w:t xml:space="preserve">Lakukan gap assessment keamanan teknis (enkripsi, akses kontrol, log)</w:t>
            </w:r>
          </w:p>
          <w:p>
            <w:pPr>
              <w:pStyle w:val="ListParagraph"/>
              <w:numPr>
                <w:ilvl w:val="0"/>
                <w:numId w:val="3"/>
              </w:numPr>
              <w:spacing w:before="30" w:after="30"/>
            </w:pPr>
            <w:r>
              <w:rPr>
                <w:rFonts w:ascii="Arial" w:cs="Arial" w:eastAsia="Arial" w:hAnsi="Arial"/>
                <w:sz w:val="18"/>
                <w:szCs w:val="18"/>
              </w:rPr>
              <w:t xml:space="preserve">Terapkan prinsip privacy by design pada sistem baru</w:t>
            </w:r>
          </w:p>
          <w:p>
            <w:pPr>
              <w:pStyle w:val="ListParagraph"/>
              <w:numPr>
                <w:ilvl w:val="0"/>
                <w:numId w:val="3"/>
              </w:numPr>
              <w:spacing w:before="30" w:after="30"/>
            </w:pPr>
            <w:r>
              <w:rPr>
                <w:rFonts w:ascii="Arial" w:cs="Arial" w:eastAsia="Arial" w:hAnsi="Arial"/>
                <w:sz w:val="18"/>
                <w:szCs w:val="18"/>
              </w:rPr>
              <w:t xml:space="preserve">Susun dan uji SOP Respons Insiden (Pasal 46: notifikasi dalam 3x24 jam)</w:t>
            </w:r>
          </w:p>
          <w:p>
            <w:pPr>
              <w:pStyle w:val="ListParagraph"/>
              <w:numPr>
                <w:ilvl w:val="0"/>
                <w:numId w:val="3"/>
              </w:numPr>
              <w:spacing w:before="30" w:after="30"/>
            </w:pPr>
            <w:r>
              <w:rPr>
                <w:rFonts w:ascii="Arial" w:cs="Arial" w:eastAsia="Arial" w:hAnsi="Arial"/>
                <w:sz w:val="18"/>
                <w:szCs w:val="18"/>
              </w:rPr>
              <w:t xml:space="preserve">Tetapkan prosedur deteksi, investigasi, dan pelaporan insiden</w:t>
            </w:r>
          </w:p>
          <w:p>
            <w:pPr>
              <w:pStyle w:val="ListParagraph"/>
              <w:numPr>
                <w:ilvl w:val="0"/>
                <w:numId w:val="3"/>
              </w:numPr>
              <w:spacing w:before="30" w:after="30"/>
            </w:pPr>
            <w:r>
              <w:rPr>
                <w:rFonts w:ascii="Arial" w:cs="Arial" w:eastAsia="Arial" w:hAnsi="Arial"/>
                <w:sz w:val="18"/>
                <w:szCs w:val="18"/>
              </w:rPr>
              <w:t xml:space="preserve">Lakukan simulasi/tabletop exercise skenario kebocoran data</w:t>
            </w:r>
          </w:p>
          <w:p>
            <w:pPr>
              <w:pStyle w:val="ListParagraph"/>
              <w:numPr>
                <w:ilvl w:val="0"/>
                <w:numId w:val="3"/>
              </w:numPr>
              <w:spacing w:before="30" w:after="30"/>
            </w:pPr>
            <w:r>
              <w:rPr>
                <w:rFonts w:ascii="Arial" w:cs="Arial" w:eastAsia="Arial" w:hAnsi="Arial"/>
                <w:sz w:val="18"/>
                <w:szCs w:val="18"/>
              </w:rPr>
              <w:t xml:space="preserve">Pastikan kerahasiaan data oleh seluruh personel (Pasal 36, NDA)</w:t>
            </w:r>
          </w:p>
        </w:tc>
      </w:tr>
      <w:tr>
        <w:tc>
          <w:tcPr>
            <w:tcW w:type="dxa" w:w="220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Deliverable</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pStyle w:val="ListParagraph"/>
              <w:numPr>
                <w:ilvl w:val="0"/>
                <w:numId w:val="2"/>
              </w:numPr>
              <w:spacing w:before="30" w:after="30"/>
            </w:pPr>
            <w:r>
              <w:rPr>
                <w:rFonts w:ascii="Arial" w:cs="Arial" w:eastAsia="Arial" w:hAnsi="Arial"/>
                <w:sz w:val="18"/>
                <w:szCs w:val="18"/>
              </w:rPr>
              <w:t xml:space="preserve">Kebijakan Keamanan Data Pribadi</w:t>
            </w:r>
          </w:p>
          <w:p>
            <w:pPr>
              <w:pStyle w:val="ListParagraph"/>
              <w:numPr>
                <w:ilvl w:val="0"/>
                <w:numId w:val="2"/>
              </w:numPr>
              <w:spacing w:before="30" w:after="30"/>
            </w:pPr>
            <w:r>
              <w:rPr>
                <w:rFonts w:ascii="Arial" w:cs="Arial" w:eastAsia="Arial" w:hAnsi="Arial"/>
                <w:sz w:val="18"/>
                <w:szCs w:val="18"/>
              </w:rPr>
              <w:t xml:space="preserve">SOP Respons Insiden Siber terkait PDP (termasuk notifikasi 3x24 jam)</w:t>
            </w:r>
          </w:p>
          <w:p>
            <w:pPr>
              <w:pStyle w:val="ListParagraph"/>
              <w:numPr>
                <w:ilvl w:val="0"/>
                <w:numId w:val="2"/>
              </w:numPr>
              <w:spacing w:before="30" w:after="30"/>
            </w:pPr>
            <w:r>
              <w:rPr>
                <w:rFonts w:ascii="Arial" w:cs="Arial" w:eastAsia="Arial" w:hAnsi="Arial"/>
                <w:sz w:val="18"/>
                <w:szCs w:val="18"/>
              </w:rPr>
              <w:t xml:space="preserve">Register Insiden dan Log Kejadian</w:t>
            </w:r>
          </w:p>
          <w:p>
            <w:pPr>
              <w:pStyle w:val="ListParagraph"/>
              <w:numPr>
                <w:ilvl w:val="0"/>
                <w:numId w:val="2"/>
              </w:numPr>
              <w:spacing w:before="30" w:after="30"/>
            </w:pPr>
            <w:r>
              <w:rPr>
                <w:rFonts w:ascii="Arial" w:cs="Arial" w:eastAsia="Arial" w:hAnsi="Arial"/>
                <w:sz w:val="18"/>
                <w:szCs w:val="18"/>
              </w:rPr>
              <w:t xml:space="preserve">Matriks kontrol teknis: enkripsi, akses, pseudonimisasi</w:t>
            </w:r>
          </w:p>
          <w:p>
            <w:pPr>
              <w:pStyle w:val="ListParagraph"/>
              <w:numPr>
                <w:ilvl w:val="0"/>
                <w:numId w:val="2"/>
              </w:numPr>
              <w:spacing w:before="30" w:after="30"/>
            </w:pPr>
            <w:r>
              <w:rPr>
                <w:rFonts w:ascii="Arial" w:cs="Arial" w:eastAsia="Arial" w:hAnsi="Arial"/>
                <w:sz w:val="18"/>
                <w:szCs w:val="18"/>
              </w:rPr>
              <w:t xml:space="preserve">Prosedur pencegahan akses tidak sah (Pasal 39)</w:t>
            </w:r>
          </w:p>
        </w:tc>
      </w:tr>
      <w:tr>
        <w:tc>
          <w:tcPr>
            <w:tcW w:type="dxa" w:w="220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Penanggung Jawab</w:t>
            </w:r>
          </w:p>
        </w:tc>
        <w:tc>
          <w:tcPr>
            <w:tcW w:type="dxa" w:w="7160"/>
            <w:tcBorders>
              <w:top w:val="single" w:color="CCCCCC" w:sz="1"/>
              <w:left w:val="single" w:color="CCCCCC" w:sz="1"/>
              <w:bottom w:val="single" w:color="CCCCCC" w:sz="1"/>
              <w:right w:val="single" w:color="CCCCCC" w:sz="1"/>
            </w:tcBorders>
            <w:shd w:fill="F9FBFD"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Tim IT / Keamanan Informasi / DPO</w:t>
            </w:r>
          </w:p>
        </w:tc>
      </w:tr>
      <w:tr>
        <w:tc>
          <w:tcPr>
            <w:tcW w:type="dxa" w:w="220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Prioritas</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FF0000"/>
                <w:sz w:val="18"/>
                <w:szCs w:val="18"/>
              </w:rPr>
              <w:t xml:space="preserve">Prioritas Tinggi</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00B050" w:val="clear"/>
            <w:tcMar>
              <w:top w:type="dxa" w:w="120"/>
              <w:left w:type="dxa" w:w="200"/>
              <w:bottom w:type="dxa" w:w="120"/>
              <w:right w:type="dxa" w:w="200"/>
            </w:tcMar>
          </w:tcPr>
          <w:p>
            <w:r>
              <w:rPr>
                <w:rFonts w:ascii="Arial" w:cs="Arial" w:eastAsia="Arial" w:hAnsi="Arial"/>
                <w:b/>
                <w:bCs/>
                <w:color w:val="FFFFFF"/>
                <w:sz w:val="24"/>
                <w:szCs w:val="24"/>
              </w:rPr>
              <w:t xml:space="preserve">Fase 5: DPIA, Vendor &amp; Transfer Data</w:t>
            </w:r>
            <w:r>
              <w:rPr>
                <w:rFonts w:ascii="Arial" w:cs="Arial" w:eastAsia="Arial" w:hAnsi="Arial"/>
                <w:color w:val="DDDDDD"/>
                <w:sz w:val="18"/>
                <w:szCs w:val="18"/>
              </w:rPr>
              <w:t xml:space="preserve">   |   Bulan 5–7   |   Acuan: Pasal 34, 37, 51, 52, 55, 56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Tujuan</w:t>
            </w:r>
          </w:p>
        </w:tc>
        <w:tc>
          <w:tcPr>
            <w:tcW w:type="dxa" w:w="7160"/>
            <w:tcBorders>
              <w:top w:val="single" w:color="CCCCCC" w:sz="1"/>
              <w:left w:val="single" w:color="CCCCCC" w:sz="1"/>
              <w:bottom w:val="single" w:color="CCCCCC" w:sz="1"/>
              <w:right w:val="single" w:color="CCCCCC" w:sz="1"/>
            </w:tcBorders>
            <w:shd w:fill="F9FBFD"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Melakukan penilaian dampak untuk pemrosesan berisiko tinggi, mengawasi vendor, dan memastikan kepatuhan transfer data.</w:t>
            </w:r>
          </w:p>
        </w:tc>
      </w:tr>
      <w:tr>
        <w:tc>
          <w:tcPr>
            <w:tcW w:type="dxa" w:w="220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Kegiatan Utama</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pStyle w:val="ListParagraph"/>
              <w:numPr>
                <w:ilvl w:val="0"/>
                <w:numId w:val="3"/>
              </w:numPr>
              <w:spacing w:before="30" w:after="30"/>
            </w:pPr>
            <w:r>
              <w:rPr>
                <w:rFonts w:ascii="Arial" w:cs="Arial" w:eastAsia="Arial" w:hAnsi="Arial"/>
                <w:sz w:val="18"/>
                <w:szCs w:val="18"/>
              </w:rPr>
              <w:t xml:space="preserve">Identifikasi aktivitas pemrosesan berisiko tinggi yang memerlukan DPIA</w:t>
            </w:r>
          </w:p>
          <w:p>
            <w:pPr>
              <w:pStyle w:val="ListParagraph"/>
              <w:numPr>
                <w:ilvl w:val="0"/>
                <w:numId w:val="3"/>
              </w:numPr>
              <w:spacing w:before="30" w:after="30"/>
            </w:pPr>
            <w:r>
              <w:rPr>
                <w:rFonts w:ascii="Arial" w:cs="Arial" w:eastAsia="Arial" w:hAnsi="Arial"/>
                <w:sz w:val="18"/>
                <w:szCs w:val="18"/>
              </w:rPr>
              <w:t xml:space="preserve">Lakukan DPIA dengan melibatkan fungsi bisnis, IT, Legal, DPO</w:t>
            </w:r>
          </w:p>
          <w:p>
            <w:pPr>
              <w:pStyle w:val="ListParagraph"/>
              <w:numPr>
                <w:ilvl w:val="0"/>
                <w:numId w:val="3"/>
              </w:numPr>
              <w:spacing w:before="30" w:after="30"/>
            </w:pPr>
            <w:r>
              <w:rPr>
                <w:rFonts w:ascii="Arial" w:cs="Arial" w:eastAsia="Arial" w:hAnsi="Arial"/>
                <w:sz w:val="18"/>
                <w:szCs w:val="18"/>
              </w:rPr>
              <w:t xml:space="preserve">Review dan perbarui kontrak dengan vendor/prosesor (Pasal 51, 52)</w:t>
            </w:r>
          </w:p>
          <w:p>
            <w:pPr>
              <w:pStyle w:val="ListParagraph"/>
              <w:numPr>
                <w:ilvl w:val="0"/>
                <w:numId w:val="3"/>
              </w:numPr>
              <w:spacing w:before="30" w:after="30"/>
            </w:pPr>
            <w:r>
              <w:rPr>
                <w:rFonts w:ascii="Arial" w:cs="Arial" w:eastAsia="Arial" w:hAnsi="Arial"/>
                <w:sz w:val="18"/>
                <w:szCs w:val="18"/>
              </w:rPr>
              <w:t xml:space="preserve">Tambahkan klausul Data Processing Agreement (DPA) dalam kontrak vendor</w:t>
            </w:r>
          </w:p>
          <w:p>
            <w:pPr>
              <w:pStyle w:val="ListParagraph"/>
              <w:numPr>
                <w:ilvl w:val="0"/>
                <w:numId w:val="3"/>
              </w:numPr>
              <w:spacing w:before="30" w:after="30"/>
            </w:pPr>
            <w:r>
              <w:rPr>
                <w:rFonts w:ascii="Arial" w:cs="Arial" w:eastAsia="Arial" w:hAnsi="Arial"/>
                <w:sz w:val="18"/>
                <w:szCs w:val="18"/>
              </w:rPr>
              <w:t xml:space="preserve">Audit kepatuhan vendor terhadap standar keamanan data</w:t>
            </w:r>
          </w:p>
          <w:p>
            <w:pPr>
              <w:pStyle w:val="ListParagraph"/>
              <w:numPr>
                <w:ilvl w:val="0"/>
                <w:numId w:val="3"/>
              </w:numPr>
              <w:spacing w:before="30" w:after="30"/>
            </w:pPr>
            <w:r>
              <w:rPr>
                <w:rFonts w:ascii="Arial" w:cs="Arial" w:eastAsia="Arial" w:hAnsi="Arial"/>
                <w:sz w:val="18"/>
                <w:szCs w:val="18"/>
              </w:rPr>
              <w:t xml:space="preserve">Tetapkan prosedur transfer data lintas negara sesuai Pasal 56</w:t>
            </w:r>
          </w:p>
        </w:tc>
      </w:tr>
      <w:tr>
        <w:tc>
          <w:tcPr>
            <w:tcW w:type="dxa" w:w="220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Deliverable</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pStyle w:val="ListParagraph"/>
              <w:numPr>
                <w:ilvl w:val="0"/>
                <w:numId w:val="2"/>
              </w:numPr>
              <w:spacing w:before="30" w:after="30"/>
            </w:pPr>
            <w:r>
              <w:rPr>
                <w:rFonts w:ascii="Arial" w:cs="Arial" w:eastAsia="Arial" w:hAnsi="Arial"/>
                <w:sz w:val="18"/>
                <w:szCs w:val="18"/>
              </w:rPr>
              <w:t xml:space="preserve">Kebijakan dan SOP DPIA (Data Protection Impact Assessment)</w:t>
            </w:r>
          </w:p>
          <w:p>
            <w:pPr>
              <w:pStyle w:val="ListParagraph"/>
              <w:numPr>
                <w:ilvl w:val="0"/>
                <w:numId w:val="2"/>
              </w:numPr>
              <w:spacing w:before="30" w:after="30"/>
            </w:pPr>
            <w:r>
              <w:rPr>
                <w:rFonts w:ascii="Arial" w:cs="Arial" w:eastAsia="Arial" w:hAnsi="Arial"/>
                <w:sz w:val="18"/>
                <w:szCs w:val="18"/>
              </w:rPr>
              <w:t xml:space="preserve">Hasil DPIA untuk pemrosesan berisiko tinggi</w:t>
            </w:r>
          </w:p>
          <w:p>
            <w:pPr>
              <w:pStyle w:val="ListParagraph"/>
              <w:numPr>
                <w:ilvl w:val="0"/>
                <w:numId w:val="2"/>
              </w:numPr>
              <w:spacing w:before="30" w:after="30"/>
            </w:pPr>
            <w:r>
              <w:rPr>
                <w:rFonts w:ascii="Arial" w:cs="Arial" w:eastAsia="Arial" w:hAnsi="Arial"/>
                <w:sz w:val="18"/>
                <w:szCs w:val="18"/>
              </w:rPr>
              <w:t xml:space="preserve">Template dan SOP Perjanjian dengan Prosesor/Vendor (DPA)</w:t>
            </w:r>
          </w:p>
          <w:p>
            <w:pPr>
              <w:pStyle w:val="ListParagraph"/>
              <w:numPr>
                <w:ilvl w:val="0"/>
                <w:numId w:val="2"/>
              </w:numPr>
              <w:spacing w:before="30" w:after="30"/>
            </w:pPr>
            <w:r>
              <w:rPr>
                <w:rFonts w:ascii="Arial" w:cs="Arial" w:eastAsia="Arial" w:hAnsi="Arial"/>
                <w:sz w:val="18"/>
                <w:szCs w:val="18"/>
              </w:rPr>
              <w:t xml:space="preserve">Daftar vendor yang telah diaudit/disetujui</w:t>
            </w:r>
          </w:p>
          <w:p>
            <w:pPr>
              <w:pStyle w:val="ListParagraph"/>
              <w:numPr>
                <w:ilvl w:val="0"/>
                <w:numId w:val="2"/>
              </w:numPr>
              <w:spacing w:before="30" w:after="30"/>
            </w:pPr>
            <w:r>
              <w:rPr>
                <w:rFonts w:ascii="Arial" w:cs="Arial" w:eastAsia="Arial" w:hAnsi="Arial"/>
                <w:sz w:val="18"/>
                <w:szCs w:val="18"/>
              </w:rPr>
              <w:t xml:space="preserve">Prosedur Transfer Data Lintas Negara (Pasal 56)</w:t>
            </w:r>
          </w:p>
        </w:tc>
      </w:tr>
      <w:tr>
        <w:tc>
          <w:tcPr>
            <w:tcW w:type="dxa" w:w="220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Penanggung Jawab</w:t>
            </w:r>
          </w:p>
        </w:tc>
        <w:tc>
          <w:tcPr>
            <w:tcW w:type="dxa" w:w="7160"/>
            <w:tcBorders>
              <w:top w:val="single" w:color="CCCCCC" w:sz="1"/>
              <w:left w:val="single" w:color="CCCCCC" w:sz="1"/>
              <w:bottom w:val="single" w:color="CCCCCC" w:sz="1"/>
              <w:right w:val="single" w:color="CCCCCC" w:sz="1"/>
            </w:tcBorders>
            <w:shd w:fill="F9FBFD"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DPO / Legal / Procurement</w:t>
            </w:r>
          </w:p>
        </w:tc>
      </w:tr>
      <w:tr>
        <w:tc>
          <w:tcPr>
            <w:tcW w:type="dxa" w:w="220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Prioritas</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FFC000"/>
                <w:sz w:val="18"/>
                <w:szCs w:val="18"/>
              </w:rPr>
              <w:t xml:space="preserve">Prioritas Menengah</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7030A0" w:val="clear"/>
            <w:tcMar>
              <w:top w:type="dxa" w:w="120"/>
              <w:left w:type="dxa" w:w="200"/>
              <w:bottom w:type="dxa" w:w="120"/>
              <w:right w:type="dxa" w:w="200"/>
            </w:tcMar>
          </w:tcPr>
          <w:p>
            <w:r>
              <w:rPr>
                <w:rFonts w:ascii="Arial" w:cs="Arial" w:eastAsia="Arial" w:hAnsi="Arial"/>
                <w:b/>
                <w:bCs/>
                <w:color w:val="FFFFFF"/>
                <w:sz w:val="24"/>
                <w:szCs w:val="24"/>
              </w:rPr>
              <w:t xml:space="preserve">Fase 6: Pelatihan, Audit &amp; Pemantauan Berkelanjutan</w:t>
            </w:r>
            <w:r>
              <w:rPr>
                <w:rFonts w:ascii="Arial" w:cs="Arial" w:eastAsia="Arial" w:hAnsi="Arial"/>
                <w:color w:val="DDDDDD"/>
                <w:sz w:val="18"/>
                <w:szCs w:val="18"/>
              </w:rPr>
              <w:t xml:space="preserve">   |   Bulan 7–12 (Ongoing)   |   Acuan: Pasal 47, 54, 57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Tujuan</w:t>
            </w:r>
          </w:p>
        </w:tc>
        <w:tc>
          <w:tcPr>
            <w:tcW w:type="dxa" w:w="7160"/>
            <w:tcBorders>
              <w:top w:val="single" w:color="CCCCCC" w:sz="1"/>
              <w:left w:val="single" w:color="CCCCCC" w:sz="1"/>
              <w:bottom w:val="single" w:color="CCCCCC" w:sz="1"/>
              <w:right w:val="single" w:color="CCCCCC" w:sz="1"/>
            </w:tcBorders>
            <w:shd w:fill="F9FBFD"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Memastikan seluruh personel terlatih, program PDP diaudit secara berkala, dan perbaikan terus dilakukan.</w:t>
            </w:r>
          </w:p>
        </w:tc>
      </w:tr>
      <w:tr>
        <w:tc>
          <w:tcPr>
            <w:tcW w:type="dxa" w:w="220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Kegiatan Utama</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pStyle w:val="ListParagraph"/>
              <w:numPr>
                <w:ilvl w:val="0"/>
                <w:numId w:val="3"/>
              </w:numPr>
              <w:spacing w:before="30" w:after="30"/>
            </w:pPr>
            <w:r>
              <w:rPr>
                <w:rFonts w:ascii="Arial" w:cs="Arial" w:eastAsia="Arial" w:hAnsi="Arial"/>
                <w:sz w:val="18"/>
                <w:szCs w:val="18"/>
              </w:rPr>
              <w:t xml:space="preserve">Susun kurikulum pelatihan PDP untuk semua level karyawan</w:t>
            </w:r>
          </w:p>
          <w:p>
            <w:pPr>
              <w:pStyle w:val="ListParagraph"/>
              <w:numPr>
                <w:ilvl w:val="0"/>
                <w:numId w:val="3"/>
              </w:numPr>
              <w:spacing w:before="30" w:after="30"/>
            </w:pPr>
            <w:r>
              <w:rPr>
                <w:rFonts w:ascii="Arial" w:cs="Arial" w:eastAsia="Arial" w:hAnsi="Arial"/>
                <w:sz w:val="18"/>
                <w:szCs w:val="18"/>
              </w:rPr>
              <w:t xml:space="preserve">Laksanakan pelatihan dan simpan bukti kehadiran/kompetensi</w:t>
            </w:r>
          </w:p>
          <w:p>
            <w:pPr>
              <w:pStyle w:val="ListParagraph"/>
              <w:numPr>
                <w:ilvl w:val="0"/>
                <w:numId w:val="3"/>
              </w:numPr>
              <w:spacing w:before="30" w:after="30"/>
            </w:pPr>
            <w:r>
              <w:rPr>
                <w:rFonts w:ascii="Arial" w:cs="Arial" w:eastAsia="Arial" w:hAnsi="Arial"/>
                <w:sz w:val="18"/>
                <w:szCs w:val="18"/>
              </w:rPr>
              <w:t xml:space="preserve">Lakukan audit internal kepatuhan PDP setiap 6 bulan</w:t>
            </w:r>
          </w:p>
          <w:p>
            <w:pPr>
              <w:pStyle w:val="ListParagraph"/>
              <w:numPr>
                <w:ilvl w:val="0"/>
                <w:numId w:val="3"/>
              </w:numPr>
              <w:spacing w:before="30" w:after="30"/>
            </w:pPr>
            <w:r>
              <w:rPr>
                <w:rFonts w:ascii="Arial" w:cs="Arial" w:eastAsia="Arial" w:hAnsi="Arial"/>
                <w:sz w:val="18"/>
                <w:szCs w:val="18"/>
              </w:rPr>
              <w:t xml:space="preserve">Tindaklanjuti temuan audit dengan rencana perbaikan tertulis</w:t>
            </w:r>
          </w:p>
          <w:p>
            <w:pPr>
              <w:pStyle w:val="ListParagraph"/>
              <w:numPr>
                <w:ilvl w:val="0"/>
                <w:numId w:val="3"/>
              </w:numPr>
              <w:spacing w:before="30" w:after="30"/>
            </w:pPr>
            <w:r>
              <w:rPr>
                <w:rFonts w:ascii="Arial" w:cs="Arial" w:eastAsia="Arial" w:hAnsi="Arial"/>
                <w:sz w:val="18"/>
                <w:szCs w:val="18"/>
              </w:rPr>
              <w:t xml:space="preserve">Pantau perubahan regulasi dan update kebijakan</w:t>
            </w:r>
          </w:p>
          <w:p>
            <w:pPr>
              <w:pStyle w:val="ListParagraph"/>
              <w:numPr>
                <w:ilvl w:val="0"/>
                <w:numId w:val="3"/>
              </w:numPr>
              <w:spacing w:before="30" w:after="30"/>
            </w:pPr>
            <w:r>
              <w:rPr>
                <w:rFonts w:ascii="Arial" w:cs="Arial" w:eastAsia="Arial" w:hAnsi="Arial"/>
                <w:sz w:val="18"/>
                <w:szCs w:val="18"/>
              </w:rPr>
              <w:t xml:space="preserve">Lakukan tinjauan manajemen tahunan program PDP</w:t>
            </w:r>
          </w:p>
          <w:p>
            <w:pPr>
              <w:pStyle w:val="ListParagraph"/>
              <w:numPr>
                <w:ilvl w:val="0"/>
                <w:numId w:val="3"/>
              </w:numPr>
              <w:spacing w:before="30" w:after="30"/>
            </w:pPr>
            <w:r>
              <w:rPr>
                <w:rFonts w:ascii="Arial" w:cs="Arial" w:eastAsia="Arial" w:hAnsi="Arial"/>
                <w:sz w:val="18"/>
                <w:szCs w:val="18"/>
              </w:rPr>
              <w:t xml:space="preserve">Siapkan dokumentasi untuk kemungkinan pemeriksaan regulator</w:t>
            </w:r>
          </w:p>
        </w:tc>
      </w:tr>
      <w:tr>
        <w:tc>
          <w:tcPr>
            <w:tcW w:type="dxa" w:w="220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Deliverable</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pStyle w:val="ListParagraph"/>
              <w:numPr>
                <w:ilvl w:val="0"/>
                <w:numId w:val="2"/>
              </w:numPr>
              <w:spacing w:before="30" w:after="30"/>
            </w:pPr>
            <w:r>
              <w:rPr>
                <w:rFonts w:ascii="Arial" w:cs="Arial" w:eastAsia="Arial" w:hAnsi="Arial"/>
                <w:sz w:val="18"/>
                <w:szCs w:val="18"/>
              </w:rPr>
              <w:t xml:space="preserve">Program pelatihan PDP berjenjang (manajemen, operasional, IT)</w:t>
            </w:r>
          </w:p>
          <w:p>
            <w:pPr>
              <w:pStyle w:val="ListParagraph"/>
              <w:numPr>
                <w:ilvl w:val="0"/>
                <w:numId w:val="2"/>
              </w:numPr>
              <w:spacing w:before="30" w:after="30"/>
            </w:pPr>
            <w:r>
              <w:rPr>
                <w:rFonts w:ascii="Arial" w:cs="Arial" w:eastAsia="Arial" w:hAnsi="Arial"/>
                <w:sz w:val="18"/>
                <w:szCs w:val="18"/>
              </w:rPr>
              <w:t xml:space="preserve">Bukti catatan pelatihan dan sosialisasi</w:t>
            </w:r>
          </w:p>
          <w:p>
            <w:pPr>
              <w:pStyle w:val="ListParagraph"/>
              <w:numPr>
                <w:ilvl w:val="0"/>
                <w:numId w:val="2"/>
              </w:numPr>
              <w:spacing w:before="30" w:after="30"/>
            </w:pPr>
            <w:r>
              <w:rPr>
                <w:rFonts w:ascii="Arial" w:cs="Arial" w:eastAsia="Arial" w:hAnsi="Arial"/>
                <w:sz w:val="18"/>
                <w:szCs w:val="18"/>
              </w:rPr>
              <w:t xml:space="preserve">Laporan Audit Internal PDP + Rencana Perbaikan</w:t>
            </w:r>
          </w:p>
          <w:p>
            <w:pPr>
              <w:pStyle w:val="ListParagraph"/>
              <w:numPr>
                <w:ilvl w:val="0"/>
                <w:numId w:val="2"/>
              </w:numPr>
              <w:spacing w:before="30" w:after="30"/>
            </w:pPr>
            <w:r>
              <w:rPr>
                <w:rFonts w:ascii="Arial" w:cs="Arial" w:eastAsia="Arial" w:hAnsi="Arial"/>
                <w:sz w:val="18"/>
                <w:szCs w:val="18"/>
              </w:rPr>
              <w:t xml:space="preserve">Dashboard pemantauan kepatuhan PDP</w:t>
            </w:r>
          </w:p>
          <w:p>
            <w:pPr>
              <w:pStyle w:val="ListParagraph"/>
              <w:numPr>
                <w:ilvl w:val="0"/>
                <w:numId w:val="2"/>
              </w:numPr>
              <w:spacing w:before="30" w:after="30"/>
            </w:pPr>
            <w:r>
              <w:rPr>
                <w:rFonts w:ascii="Arial" w:cs="Arial" w:eastAsia="Arial" w:hAnsi="Arial"/>
                <w:sz w:val="18"/>
                <w:szCs w:val="18"/>
              </w:rPr>
              <w:t xml:space="preserve">Laporan Tinjauan Manajemen PDP (tahunan)</w:t>
            </w:r>
          </w:p>
        </w:tc>
      </w:tr>
      <w:tr>
        <w:tc>
          <w:tcPr>
            <w:tcW w:type="dxa" w:w="220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Penanggung Jawab</w:t>
            </w:r>
          </w:p>
        </w:tc>
        <w:tc>
          <w:tcPr>
            <w:tcW w:type="dxa" w:w="7160"/>
            <w:tcBorders>
              <w:top w:val="single" w:color="CCCCCC" w:sz="1"/>
              <w:left w:val="single" w:color="CCCCCC" w:sz="1"/>
              <w:bottom w:val="single" w:color="CCCCCC" w:sz="1"/>
              <w:right w:val="single" w:color="CCCCCC" w:sz="1"/>
            </w:tcBorders>
            <w:shd w:fill="F9FBFD"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DPO / HR / Internal Audit</w:t>
            </w:r>
          </w:p>
        </w:tc>
      </w:tr>
      <w:tr>
        <w:tc>
          <w:tcPr>
            <w:tcW w:type="dxa" w:w="220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Prioritas</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FFC000"/>
                <w:sz w:val="18"/>
                <w:szCs w:val="18"/>
              </w:rPr>
              <w:t xml:space="preserve">Prioritas Menengah</w:t>
            </w:r>
          </w:p>
        </w:tc>
      </w:tr>
    </w:tbl>
    <w:p>
      <w:pPr>
        <w:spacing w:before="60" w:after="60"/>
      </w:pPr>
      <w:r>
        <w:t xml:space="preserve"/>
      </w:r>
    </w:p>
    <w:p>
      <w:r>
        <w:br w:type="page"/>
      </w:r>
    </w:p>
    <w:p>
      <w:pPr>
        <w:pStyle w:val="Heading1"/>
        <w:spacing w:before="320" w:after="160"/>
      </w:pPr>
      <w:r>
        <w:rPr>
          <w:rFonts w:ascii="Arial" w:cs="Arial" w:eastAsia="Arial" w:hAnsi="Arial"/>
          <w:b/>
          <w:bCs/>
          <w:color w:val="1F4E79"/>
          <w:sz w:val="28"/>
          <w:szCs w:val="28"/>
        </w:rPr>
        <w:t xml:space="preserve">5. Timeline Ringkas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80"/>
        <w:gridCol w:w="1680"/>
        <w:gridCol w:w="1200"/>
      </w:tblGrid>
      <w:tr>
        <w:tc>
          <w:tcPr>
            <w:tcW w:type="dxa" w:w="1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Fase</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Nama Fase</w:t>
            </w:r>
          </w:p>
        </w:tc>
        <w:tc>
          <w:tcPr>
            <w:tcW w:type="dxa" w:w="22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Durasi</w:t>
            </w:r>
          </w:p>
        </w:tc>
        <w:tc>
          <w:tcPr>
            <w:tcW w:type="dxa" w:w="1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PIC</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Prioritas</w:t>
            </w:r>
          </w:p>
        </w:tc>
      </w:tr>
      <w:tr>
        <w:tc>
          <w:tcPr>
            <w:tcW w:type="dxa" w:w="140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center"/>
            </w:pPr>
            <w:r>
              <w:rPr>
                <w:rFonts w:ascii="Arial" w:cs="Arial" w:eastAsia="Arial" w:hAnsi="Arial"/>
                <w:b/>
                <w:bCs/>
                <w:color w:val="1F4E79"/>
                <w:sz w:val="18"/>
                <w:szCs w:val="18"/>
              </w:rPr>
              <w:t xml:space="preserve">Fase 1</w:t>
            </w:r>
          </w:p>
        </w:tc>
        <w:tc>
          <w:tcPr>
            <w:tcW w:type="dxa" w:w="280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Pembentukan Fondasi &amp; Tata Kelola</w:t>
            </w:r>
          </w:p>
        </w:tc>
        <w:tc>
          <w:tcPr>
            <w:tcW w:type="dxa" w:w="228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Bulan 1–2</w:t>
            </w:r>
          </w:p>
        </w:tc>
        <w:tc>
          <w:tcPr>
            <w:tcW w:type="dxa" w:w="168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Direksi</w:t>
            </w:r>
          </w:p>
        </w:tc>
        <w:tc>
          <w:tcPr>
            <w:tcW w:type="dxa" w:w="1200"/>
            <w:tcBorders>
              <w:top w:val="single" w:color="CCCCCC" w:sz="1"/>
              <w:left w:val="single" w:color="CCCCCC" w:sz="1"/>
              <w:bottom w:val="single" w:color="CCCCCC" w:sz="1"/>
              <w:right w:val="single" w:color="CCCCCC" w:sz="1"/>
            </w:tcBorders>
            <w:shd w:fill="FFF0F0" w:val="clear"/>
            <w:tcMar>
              <w:top w:type="dxa" w:w="100"/>
              <w:left w:type="dxa" w:w="150"/>
              <w:bottom w:type="dxa" w:w="100"/>
              <w:right w:type="dxa" w:w="150"/>
            </w:tcMar>
            <w:vAlign w:val="center"/>
          </w:tcPr>
          <w:p>
            <w:pPr>
              <w:jc w:val="center"/>
            </w:pPr>
            <w:r>
              <w:rPr>
                <w:rFonts w:ascii="Arial" w:cs="Arial" w:eastAsia="Arial" w:hAnsi="Arial"/>
                <w:b/>
                <w:bCs/>
                <w:color w:val="C00000"/>
                <w:sz w:val="16"/>
                <w:szCs w:val="16"/>
              </w:rPr>
              <w:t xml:space="preserve">TINGGI</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F4E79"/>
                <w:sz w:val="18"/>
                <w:szCs w:val="18"/>
              </w:rPr>
              <w:t xml:space="preserve">Fase 2</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Inventarisasi &amp; Pemetaan Data (RoPA)</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Bulan 2–3</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DPO</w:t>
            </w:r>
          </w:p>
        </w:tc>
        <w:tc>
          <w:tcPr>
            <w:tcW w:type="dxa" w:w="1200"/>
            <w:tcBorders>
              <w:top w:val="single" w:color="CCCCCC" w:sz="1"/>
              <w:left w:val="single" w:color="CCCCCC" w:sz="1"/>
              <w:bottom w:val="single" w:color="CCCCCC" w:sz="1"/>
              <w:right w:val="single" w:color="CCCCCC" w:sz="1"/>
            </w:tcBorders>
            <w:shd w:fill="FFF0F0" w:val="clear"/>
            <w:tcMar>
              <w:top w:type="dxa" w:w="100"/>
              <w:left w:type="dxa" w:w="150"/>
              <w:bottom w:type="dxa" w:w="100"/>
              <w:right w:type="dxa" w:w="150"/>
            </w:tcMar>
            <w:vAlign w:val="center"/>
          </w:tcPr>
          <w:p>
            <w:pPr>
              <w:jc w:val="center"/>
            </w:pPr>
            <w:r>
              <w:rPr>
                <w:rFonts w:ascii="Arial" w:cs="Arial" w:eastAsia="Arial" w:hAnsi="Arial"/>
                <w:b/>
                <w:bCs/>
                <w:color w:val="C00000"/>
                <w:sz w:val="16"/>
                <w:szCs w:val="16"/>
              </w:rPr>
              <w:t xml:space="preserve">TINGGI</w:t>
            </w:r>
          </w:p>
        </w:tc>
      </w:tr>
      <w:tr>
        <w:tc>
          <w:tcPr>
            <w:tcW w:type="dxa" w:w="140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center"/>
            </w:pPr>
            <w:r>
              <w:rPr>
                <w:rFonts w:ascii="Arial" w:cs="Arial" w:eastAsia="Arial" w:hAnsi="Arial"/>
                <w:b/>
                <w:bCs/>
                <w:color w:val="1F4E79"/>
                <w:sz w:val="18"/>
                <w:szCs w:val="18"/>
              </w:rPr>
              <w:t xml:space="preserve">Fase 3</w:t>
            </w:r>
          </w:p>
        </w:tc>
        <w:tc>
          <w:tcPr>
            <w:tcW w:type="dxa" w:w="280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Persetujuan, Transparansi &amp; Hak Subjek Data</w:t>
            </w:r>
          </w:p>
        </w:tc>
        <w:tc>
          <w:tcPr>
            <w:tcW w:type="dxa" w:w="228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Bulan 3–5</w:t>
            </w:r>
          </w:p>
        </w:tc>
        <w:tc>
          <w:tcPr>
            <w:tcW w:type="dxa" w:w="168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DPO</w:t>
            </w:r>
          </w:p>
        </w:tc>
        <w:tc>
          <w:tcPr>
            <w:tcW w:type="dxa" w:w="1200"/>
            <w:tcBorders>
              <w:top w:val="single" w:color="CCCCCC" w:sz="1"/>
              <w:left w:val="single" w:color="CCCCCC" w:sz="1"/>
              <w:bottom w:val="single" w:color="CCCCCC" w:sz="1"/>
              <w:right w:val="single" w:color="CCCCCC" w:sz="1"/>
            </w:tcBorders>
            <w:shd w:fill="FFF0F0" w:val="clear"/>
            <w:tcMar>
              <w:top w:type="dxa" w:w="100"/>
              <w:left w:type="dxa" w:w="150"/>
              <w:bottom w:type="dxa" w:w="100"/>
              <w:right w:type="dxa" w:w="150"/>
            </w:tcMar>
            <w:vAlign w:val="center"/>
          </w:tcPr>
          <w:p>
            <w:pPr>
              <w:jc w:val="center"/>
            </w:pPr>
            <w:r>
              <w:rPr>
                <w:rFonts w:ascii="Arial" w:cs="Arial" w:eastAsia="Arial" w:hAnsi="Arial"/>
                <w:b/>
                <w:bCs/>
                <w:color w:val="C00000"/>
                <w:sz w:val="16"/>
                <w:szCs w:val="16"/>
              </w:rPr>
              <w:t xml:space="preserve">TINGGI</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F4E79"/>
                <w:sz w:val="18"/>
                <w:szCs w:val="18"/>
              </w:rPr>
              <w:t xml:space="preserve">Fase 4</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Keamanan Data &amp; Manajemen Insiden</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Bulan 4–6</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Tim IT</w:t>
            </w:r>
          </w:p>
        </w:tc>
        <w:tc>
          <w:tcPr>
            <w:tcW w:type="dxa" w:w="1200"/>
            <w:tcBorders>
              <w:top w:val="single" w:color="CCCCCC" w:sz="1"/>
              <w:left w:val="single" w:color="CCCCCC" w:sz="1"/>
              <w:bottom w:val="single" w:color="CCCCCC" w:sz="1"/>
              <w:right w:val="single" w:color="CCCCCC" w:sz="1"/>
            </w:tcBorders>
            <w:shd w:fill="FFF0F0" w:val="clear"/>
            <w:tcMar>
              <w:top w:type="dxa" w:w="100"/>
              <w:left w:type="dxa" w:w="150"/>
              <w:bottom w:type="dxa" w:w="100"/>
              <w:right w:type="dxa" w:w="150"/>
            </w:tcMar>
            <w:vAlign w:val="center"/>
          </w:tcPr>
          <w:p>
            <w:pPr>
              <w:jc w:val="center"/>
            </w:pPr>
            <w:r>
              <w:rPr>
                <w:rFonts w:ascii="Arial" w:cs="Arial" w:eastAsia="Arial" w:hAnsi="Arial"/>
                <w:b/>
                <w:bCs/>
                <w:color w:val="C00000"/>
                <w:sz w:val="16"/>
                <w:szCs w:val="16"/>
              </w:rPr>
              <w:t xml:space="preserve">TINGGI</w:t>
            </w:r>
          </w:p>
        </w:tc>
      </w:tr>
      <w:tr>
        <w:tc>
          <w:tcPr>
            <w:tcW w:type="dxa" w:w="140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center"/>
            </w:pPr>
            <w:r>
              <w:rPr>
                <w:rFonts w:ascii="Arial" w:cs="Arial" w:eastAsia="Arial" w:hAnsi="Arial"/>
                <w:b/>
                <w:bCs/>
                <w:color w:val="1F4E79"/>
                <w:sz w:val="18"/>
                <w:szCs w:val="18"/>
              </w:rPr>
              <w:t xml:space="preserve">Fase 5</w:t>
            </w:r>
          </w:p>
        </w:tc>
        <w:tc>
          <w:tcPr>
            <w:tcW w:type="dxa" w:w="280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DPIA, Vendor &amp; Transfer Data</w:t>
            </w:r>
          </w:p>
        </w:tc>
        <w:tc>
          <w:tcPr>
            <w:tcW w:type="dxa" w:w="228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Bulan 5–7</w:t>
            </w:r>
          </w:p>
        </w:tc>
        <w:tc>
          <w:tcPr>
            <w:tcW w:type="dxa" w:w="1680"/>
            <w:tcBorders>
              <w:top w:val="single" w:color="CCCCCC" w:sz="1"/>
              <w:left w:val="single" w:color="CCCCCC" w:sz="1"/>
              <w:bottom w:val="single" w:color="CCCCCC" w:sz="1"/>
              <w:right w:val="single" w:color="CCCCCC" w:sz="1"/>
            </w:tcBorders>
            <w:shd w:fill="EBF2FA"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DPO</w:t>
            </w:r>
          </w:p>
        </w:tc>
        <w:tc>
          <w:tcPr>
            <w:tcW w:type="dxa" w:w="1200"/>
            <w:tcBorders>
              <w:top w:val="single" w:color="CCCCCC" w:sz="1"/>
              <w:left w:val="single" w:color="CCCCCC" w:sz="1"/>
              <w:bottom w:val="single" w:color="CCCCCC" w:sz="1"/>
              <w:right w:val="single" w:color="CCCCCC" w:sz="1"/>
            </w:tcBorders>
            <w:shd w:fill="FFFBE6" w:val="clear"/>
            <w:tcMar>
              <w:top w:type="dxa" w:w="100"/>
              <w:left w:type="dxa" w:w="150"/>
              <w:bottom w:type="dxa" w:w="100"/>
              <w:right w:type="dxa" w:w="150"/>
            </w:tcMar>
            <w:vAlign w:val="center"/>
          </w:tcPr>
          <w:p>
            <w:pPr>
              <w:jc w:val="center"/>
            </w:pPr>
            <w:r>
              <w:rPr>
                <w:rFonts w:ascii="Arial" w:cs="Arial" w:eastAsia="Arial" w:hAnsi="Arial"/>
                <w:b/>
                <w:bCs/>
                <w:color w:val="C07000"/>
                <w:sz w:val="16"/>
                <w:szCs w:val="16"/>
              </w:rPr>
              <w:t xml:space="preserve">MENENGAH</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F4E79"/>
                <w:sz w:val="18"/>
                <w:szCs w:val="18"/>
              </w:rPr>
              <w:t xml:space="preserve">Fase 6</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Pelatihan, Audit &amp; Pemantauan Berkelanjutan</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Bulan 7–12 (Ongoing)</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DPO</w:t>
            </w:r>
          </w:p>
        </w:tc>
        <w:tc>
          <w:tcPr>
            <w:tcW w:type="dxa" w:w="1200"/>
            <w:tcBorders>
              <w:top w:val="single" w:color="CCCCCC" w:sz="1"/>
              <w:left w:val="single" w:color="CCCCCC" w:sz="1"/>
              <w:bottom w:val="single" w:color="CCCCCC" w:sz="1"/>
              <w:right w:val="single" w:color="CCCCCC" w:sz="1"/>
            </w:tcBorders>
            <w:shd w:fill="FFFBE6" w:val="clear"/>
            <w:tcMar>
              <w:top w:type="dxa" w:w="100"/>
              <w:left w:type="dxa" w:w="150"/>
              <w:bottom w:type="dxa" w:w="100"/>
              <w:right w:type="dxa" w:w="150"/>
            </w:tcMar>
            <w:vAlign w:val="center"/>
          </w:tcPr>
          <w:p>
            <w:pPr>
              <w:jc w:val="center"/>
            </w:pPr>
            <w:r>
              <w:rPr>
                <w:rFonts w:ascii="Arial" w:cs="Arial" w:eastAsia="Arial" w:hAnsi="Arial"/>
                <w:b/>
                <w:bCs/>
                <w:color w:val="C07000"/>
                <w:sz w:val="16"/>
                <w:szCs w:val="16"/>
              </w:rPr>
              <w:t xml:space="preserve">MENENGAH</w:t>
            </w:r>
          </w:p>
        </w:tc>
      </w:tr>
    </w:tbl>
    <w:p>
      <w:pPr>
        <w:spacing w:before="60" w:after="60"/>
      </w:pPr>
      <w:r>
        <w:t xml:space="preserve"/>
      </w:r>
    </w:p>
    <w:p>
      <w:pPr>
        <w:pStyle w:val="Heading1"/>
        <w:spacing w:before="320" w:after="160"/>
      </w:pPr>
      <w:r>
        <w:rPr>
          <w:rFonts w:ascii="Arial" w:cs="Arial" w:eastAsia="Arial" w:hAnsi="Arial"/>
          <w:b/>
          <w:bCs/>
          <w:color w:val="1F4E79"/>
          <w:sz w:val="28"/>
          <w:szCs w:val="28"/>
        </w:rPr>
        <w:t xml:space="preserve">6. Daftar Dokumen Wajib yang Harus Disiapkan</w:t>
      </w:r>
    </w:p>
    <w:p>
      <w:pPr>
        <w:spacing w:before="60" w:after="60"/>
      </w:pPr>
      <w:r>
        <w:rPr>
          <w:rFonts w:ascii="Arial" w:cs="Arial" w:eastAsia="Arial" w:hAnsi="Arial"/>
          <w:sz w:val="20"/>
          <w:szCs w:val="20"/>
        </w:rPr>
        <w:t xml:space="preserve">Berikut adalah dokumen-dokumen yang wajib ada sebagai bukti kepatuhan UU PDP:</w:t>
      </w:r>
    </w:p>
    <w:p>
      <w:pPr>
        <w:spacing w:before="60" w:after="60"/>
      </w:pPr>
      <w:r>
        <w:t xml:space="preserve"/>
      </w:r>
    </w:p>
    <w:p>
      <w:pPr>
        <w:spacing w:before="180" w:after="80"/>
      </w:pPr>
      <w:r>
        <w:rPr>
          <w:rFonts w:ascii="Arial" w:cs="Arial" w:eastAsia="Arial" w:hAnsi="Arial"/>
          <w:b/>
          <w:bCs/>
          <w:color w:val="2E75B6"/>
          <w:sz w:val="22"/>
          <w:szCs w:val="22"/>
        </w:rPr>
        <w:t xml:space="preserve">Kebijakan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160"/>
        <w:gridCol w:w="26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No.</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Nama Dokumen</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Acuan Pasal</w:t>
            </w:r>
          </w:p>
        </w:tc>
      </w:tr>
      <w:tr>
        <w:tc>
          <w:tcPr>
            <w:tcW w:type="dxa" w:w="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1</w:t>
            </w:r>
          </w:p>
        </w:tc>
        <w:tc>
          <w:tcPr>
            <w:tcW w:type="dxa" w:w="616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Kebijakan Pelindungan Data Pribadi</w:t>
            </w:r>
          </w:p>
        </w:tc>
        <w:tc>
          <w:tcPr>
            <w:tcW w:type="dxa" w:w="2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2E75B6"/>
                <w:sz w:val="18"/>
                <w:szCs w:val="18"/>
              </w:rPr>
              <w:t xml:space="preserve">Pasal 47</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2</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Kebijakan Tata Kelola PDP</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E75B6"/>
                <w:sz w:val="18"/>
                <w:szCs w:val="18"/>
              </w:rPr>
              <w:t xml:space="preserve">Pasal 47</w:t>
            </w:r>
          </w:p>
        </w:tc>
      </w:tr>
      <w:tr>
        <w:tc>
          <w:tcPr>
            <w:tcW w:type="dxa" w:w="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3</w:t>
            </w:r>
          </w:p>
        </w:tc>
        <w:tc>
          <w:tcPr>
            <w:tcW w:type="dxa" w:w="616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Kebijakan Keamanan Data Pribadi</w:t>
            </w:r>
          </w:p>
        </w:tc>
        <w:tc>
          <w:tcPr>
            <w:tcW w:type="dxa" w:w="2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2E75B6"/>
                <w:sz w:val="18"/>
                <w:szCs w:val="18"/>
              </w:rPr>
              <w:t xml:space="preserve">Pasal 35, 36</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4</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Kebijakan Manajemen Risiko &amp; DPIA</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E75B6"/>
                <w:sz w:val="18"/>
                <w:szCs w:val="18"/>
              </w:rPr>
              <w:t xml:space="preserve">Pasal 34</w:t>
            </w:r>
          </w:p>
        </w:tc>
      </w:tr>
      <w:tr>
        <w:tc>
          <w:tcPr>
            <w:tcW w:type="dxa" w:w="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5</w:t>
            </w:r>
          </w:p>
        </w:tc>
        <w:tc>
          <w:tcPr>
            <w:tcW w:type="dxa" w:w="616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Kebijakan Manajemen Pihak Ketiga</w:t>
            </w:r>
          </w:p>
        </w:tc>
        <w:tc>
          <w:tcPr>
            <w:tcW w:type="dxa" w:w="2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2E75B6"/>
                <w:sz w:val="18"/>
                <w:szCs w:val="18"/>
              </w:rPr>
              <w:t xml:space="preserve">Pasal 37, 51</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6</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Kebijakan Retensi, Penghapusan &amp; Pemusnahan Data</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E75B6"/>
                <w:sz w:val="18"/>
                <w:szCs w:val="18"/>
              </w:rPr>
              <w:t xml:space="preserve">Pasal 43, 44</w:t>
            </w:r>
          </w:p>
        </w:tc>
      </w:tr>
      <w:tr>
        <w:tc>
          <w:tcPr>
            <w:tcW w:type="dxa" w:w="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7</w:t>
            </w:r>
          </w:p>
        </w:tc>
        <w:tc>
          <w:tcPr>
            <w:tcW w:type="dxa" w:w="616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Kebijakan Respons Insiden Siber terkait PDP</w:t>
            </w:r>
          </w:p>
        </w:tc>
        <w:tc>
          <w:tcPr>
            <w:tcW w:type="dxa" w:w="2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2E75B6"/>
                <w:sz w:val="18"/>
                <w:szCs w:val="18"/>
              </w:rPr>
              <w:t xml:space="preserve">Pasal 46</w:t>
            </w:r>
          </w:p>
        </w:tc>
      </w:tr>
    </w:tbl>
    <w:p>
      <w:pPr>
        <w:spacing w:before="60" w:after="60"/>
      </w:pPr>
      <w:r>
        <w:t xml:space="preserve"/>
      </w:r>
    </w:p>
    <w:p>
      <w:pPr>
        <w:spacing w:before="180" w:after="80"/>
      </w:pPr>
      <w:r>
        <w:rPr>
          <w:rFonts w:ascii="Arial" w:cs="Arial" w:eastAsia="Arial" w:hAnsi="Arial"/>
          <w:b/>
          <w:bCs/>
          <w:color w:val="2E75B6"/>
          <w:sz w:val="22"/>
          <w:szCs w:val="22"/>
        </w:rPr>
        <w:t xml:space="preserve">Prosedur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160"/>
        <w:gridCol w:w="26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No.</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Nama Dokumen</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Acuan Pasal</w:t>
            </w:r>
          </w:p>
        </w:tc>
      </w:tr>
      <w:tr>
        <w:tc>
          <w:tcPr>
            <w:tcW w:type="dxa" w:w="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1</w:t>
            </w:r>
          </w:p>
        </w:tc>
        <w:tc>
          <w:tcPr>
            <w:tcW w:type="dxa" w:w="616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SOP Pengelolaan Pemrosesan Data Pribadi</w:t>
            </w:r>
          </w:p>
        </w:tc>
        <w:tc>
          <w:tcPr>
            <w:tcW w:type="dxa" w:w="2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2E75B6"/>
                <w:sz w:val="18"/>
                <w:szCs w:val="18"/>
              </w:rPr>
              <w:t xml:space="preserve">Pasal 16, 27</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2</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SOP Pencatatan Kegiatan Pemrosesan (RoPA)</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E75B6"/>
                <w:sz w:val="18"/>
                <w:szCs w:val="18"/>
              </w:rPr>
              <w:t xml:space="preserve">Pasal 31</w:t>
            </w:r>
          </w:p>
        </w:tc>
      </w:tr>
      <w:tr>
        <w:tc>
          <w:tcPr>
            <w:tcW w:type="dxa" w:w="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3</w:t>
            </w:r>
          </w:p>
        </w:tc>
        <w:tc>
          <w:tcPr>
            <w:tcW w:type="dxa" w:w="616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SOP Pemenuhan Hak Subjek Data Pribadi</w:t>
            </w:r>
          </w:p>
        </w:tc>
        <w:tc>
          <w:tcPr>
            <w:tcW w:type="dxa" w:w="2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2E75B6"/>
                <w:sz w:val="18"/>
                <w:szCs w:val="18"/>
              </w:rPr>
              <w:t xml:space="preserve">Pasal 5–15</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4</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SOP DPIA &amp; Manajemen Risiko</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E75B6"/>
                <w:sz w:val="18"/>
                <w:szCs w:val="18"/>
              </w:rPr>
              <w:t xml:space="preserve">Pasal 34</w:t>
            </w:r>
          </w:p>
        </w:tc>
      </w:tr>
      <w:tr>
        <w:tc>
          <w:tcPr>
            <w:tcW w:type="dxa" w:w="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5</w:t>
            </w:r>
          </w:p>
        </w:tc>
        <w:tc>
          <w:tcPr>
            <w:tcW w:type="dxa" w:w="616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SOP Pengawasan Vendor/Prosesor</w:t>
            </w:r>
          </w:p>
        </w:tc>
        <w:tc>
          <w:tcPr>
            <w:tcW w:type="dxa" w:w="2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2E75B6"/>
                <w:sz w:val="18"/>
                <w:szCs w:val="18"/>
              </w:rPr>
              <w:t xml:space="preserve">Pasal 37, 51, 52</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6</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SOP Respons dan Notifikasi Insiden Siber</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E75B6"/>
                <w:sz w:val="18"/>
                <w:szCs w:val="18"/>
              </w:rPr>
              <w:t xml:space="preserve">Pasal 46</w:t>
            </w:r>
          </w:p>
        </w:tc>
      </w:tr>
      <w:tr>
        <w:tc>
          <w:tcPr>
            <w:tcW w:type="dxa" w:w="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7</w:t>
            </w:r>
          </w:p>
        </w:tc>
        <w:tc>
          <w:tcPr>
            <w:tcW w:type="dxa" w:w="616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SOP Audit Internal PDP</w:t>
            </w:r>
          </w:p>
        </w:tc>
        <w:tc>
          <w:tcPr>
            <w:tcW w:type="dxa" w:w="2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2E75B6"/>
                <w:sz w:val="18"/>
                <w:szCs w:val="18"/>
              </w:rPr>
              <w:t xml:space="preserve">Pasal 47</w:t>
            </w:r>
          </w:p>
        </w:tc>
      </w:tr>
    </w:tbl>
    <w:p>
      <w:pPr>
        <w:spacing w:before="60" w:after="60"/>
      </w:pPr>
      <w:r>
        <w:t xml:space="preserve"/>
      </w:r>
    </w:p>
    <w:p>
      <w:pPr>
        <w:spacing w:before="180" w:after="80"/>
      </w:pPr>
      <w:r>
        <w:rPr>
          <w:rFonts w:ascii="Arial" w:cs="Arial" w:eastAsia="Arial" w:hAnsi="Arial"/>
          <w:b/>
          <w:bCs/>
          <w:color w:val="2E75B6"/>
          <w:sz w:val="22"/>
          <w:szCs w:val="22"/>
        </w:rPr>
        <w:t xml:space="preserve">Bukti/Register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160"/>
        <w:gridCol w:w="26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No.</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Nama Dokumen</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Acuan Pasal</w:t>
            </w:r>
          </w:p>
        </w:tc>
      </w:tr>
      <w:tr>
        <w:tc>
          <w:tcPr>
            <w:tcW w:type="dxa" w:w="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1</w:t>
            </w:r>
          </w:p>
        </w:tc>
        <w:tc>
          <w:tcPr>
            <w:tcW w:type="dxa" w:w="616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Register Kegiatan Pemrosesan (RoPA)</w:t>
            </w:r>
          </w:p>
        </w:tc>
        <w:tc>
          <w:tcPr>
            <w:tcW w:type="dxa" w:w="2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2E75B6"/>
                <w:sz w:val="18"/>
                <w:szCs w:val="18"/>
              </w:rPr>
              <w:t xml:space="preserve">Pasal 31, 47</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2</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Matriks Data – Tujuan – Dasar Hukum</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E75B6"/>
                <w:sz w:val="18"/>
                <w:szCs w:val="18"/>
              </w:rPr>
              <w:t xml:space="preserve">Pasal 20</w:t>
            </w:r>
          </w:p>
        </w:tc>
      </w:tr>
      <w:tr>
        <w:tc>
          <w:tcPr>
            <w:tcW w:type="dxa" w:w="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3</w:t>
            </w:r>
          </w:p>
        </w:tc>
        <w:tc>
          <w:tcPr>
            <w:tcW w:type="dxa" w:w="616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Dokumen DPIA</w:t>
            </w:r>
          </w:p>
        </w:tc>
        <w:tc>
          <w:tcPr>
            <w:tcW w:type="dxa" w:w="2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2E75B6"/>
                <w:sz w:val="18"/>
                <w:szCs w:val="18"/>
              </w:rPr>
              <w:t xml:space="preserve">Pasal 34</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4</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Register Permohonan Hak Subjek Data</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E75B6"/>
                <w:sz w:val="18"/>
                <w:szCs w:val="18"/>
              </w:rPr>
              <w:t xml:space="preserve">Pasal 14</w:t>
            </w:r>
          </w:p>
        </w:tc>
      </w:tr>
      <w:tr>
        <w:tc>
          <w:tcPr>
            <w:tcW w:type="dxa" w:w="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5</w:t>
            </w:r>
          </w:p>
        </w:tc>
        <w:tc>
          <w:tcPr>
            <w:tcW w:type="dxa" w:w="616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Register Insiden dan Laporan Tindak Lanjut</w:t>
            </w:r>
          </w:p>
        </w:tc>
        <w:tc>
          <w:tcPr>
            <w:tcW w:type="dxa" w:w="2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2E75B6"/>
                <w:sz w:val="18"/>
                <w:szCs w:val="18"/>
              </w:rPr>
              <w:t xml:space="preserve">Pasal 46</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6</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Catatan Pelatihan dan Sosialisasi</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E75B6"/>
                <w:sz w:val="18"/>
                <w:szCs w:val="18"/>
              </w:rPr>
              <w:t xml:space="preserve">Pasal 47</w:t>
            </w:r>
          </w:p>
        </w:tc>
      </w:tr>
      <w:tr>
        <w:tc>
          <w:tcPr>
            <w:tcW w:type="dxa" w:w="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7</w:t>
            </w:r>
          </w:p>
        </w:tc>
        <w:tc>
          <w:tcPr>
            <w:tcW w:type="dxa" w:w="616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Laporan Audit Internal &amp; Rencana Perbaikan</w:t>
            </w:r>
          </w:p>
        </w:tc>
        <w:tc>
          <w:tcPr>
            <w:tcW w:type="dxa" w:w="2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2E75B6"/>
                <w:sz w:val="18"/>
                <w:szCs w:val="18"/>
              </w:rPr>
              <w:t xml:space="preserve">Pasal 47</w:t>
            </w:r>
          </w:p>
        </w:tc>
      </w:tr>
    </w:tbl>
    <w:p>
      <w:pPr>
        <w:spacing w:before="60" w:after="60"/>
      </w:pPr>
      <w:r>
        <w:t xml:space="preserve"/>
      </w:r>
    </w:p>
    <w:p>
      <w:pPr>
        <w:spacing w:before="180" w:after="80"/>
      </w:pPr>
      <w:r>
        <w:rPr>
          <w:rFonts w:ascii="Arial" w:cs="Arial" w:eastAsia="Arial" w:hAnsi="Arial"/>
          <w:b/>
          <w:bCs/>
          <w:color w:val="2E75B6"/>
          <w:sz w:val="22"/>
          <w:szCs w:val="22"/>
        </w:rPr>
        <w:t xml:space="preserve">Perjanjian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160"/>
        <w:gridCol w:w="26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No.</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Nama Dokumen</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Acuan Pasal</w:t>
            </w:r>
          </w:p>
        </w:tc>
      </w:tr>
      <w:tr>
        <w:tc>
          <w:tcPr>
            <w:tcW w:type="dxa" w:w="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1</w:t>
            </w:r>
          </w:p>
        </w:tc>
        <w:tc>
          <w:tcPr>
            <w:tcW w:type="dxa" w:w="616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Privacy Notice / Kebijakan Privasi Publik</w:t>
            </w:r>
          </w:p>
        </w:tc>
        <w:tc>
          <w:tcPr>
            <w:tcW w:type="dxa" w:w="2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2E75B6"/>
                <w:sz w:val="18"/>
                <w:szCs w:val="18"/>
              </w:rPr>
              <w:t xml:space="preserve">Pasal 5, 21</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2</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Formulir Persetujuan (Consent Form)</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E75B6"/>
                <w:sz w:val="18"/>
                <w:szCs w:val="18"/>
              </w:rPr>
              <w:t xml:space="preserve">Pasal 22, 24</w:t>
            </w:r>
          </w:p>
        </w:tc>
      </w:tr>
      <w:tr>
        <w:tc>
          <w:tcPr>
            <w:tcW w:type="dxa" w:w="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3</w:t>
            </w:r>
          </w:p>
        </w:tc>
        <w:tc>
          <w:tcPr>
            <w:tcW w:type="dxa" w:w="616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Data Processing Agreement (DPA) dengan Vendor</w:t>
            </w:r>
          </w:p>
        </w:tc>
        <w:tc>
          <w:tcPr>
            <w:tcW w:type="dxa" w:w="2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2E75B6"/>
                <w:sz w:val="18"/>
                <w:szCs w:val="18"/>
              </w:rPr>
              <w:t xml:space="preserve">Pasal 51, 52</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4</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SK Penunjukan DPO</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E75B6"/>
                <w:sz w:val="18"/>
                <w:szCs w:val="18"/>
              </w:rPr>
              <w:t xml:space="preserve">Pasal 53</w:t>
            </w:r>
          </w:p>
        </w:tc>
      </w:tr>
    </w:tbl>
    <w:p>
      <w:pPr>
        <w:spacing w:before="60" w:after="60"/>
      </w:pPr>
      <w:r>
        <w:t xml:space="preserve"/>
      </w:r>
    </w:p>
    <w:p>
      <w:pPr>
        <w:pStyle w:val="Heading1"/>
        <w:spacing w:before="320" w:after="160"/>
      </w:pPr>
      <w:r>
        <w:rPr>
          <w:rFonts w:ascii="Arial" w:cs="Arial" w:eastAsia="Arial" w:hAnsi="Arial"/>
          <w:b/>
          <w:bCs/>
          <w:color w:val="1F4E79"/>
          <w:sz w:val="28"/>
          <w:szCs w:val="28"/>
        </w:rPr>
        <w:t xml:space="preserve">7. Risiko &amp; Sanksi Jika Tidak Patuh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c>
          <w:tcPr>
            <w:tcW w:type="dxa" w:w="2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Jenis Sanksi</w:t>
            </w:r>
          </w:p>
        </w:tc>
        <w:tc>
          <w:tcPr>
            <w:tcW w:type="dxa" w:w="47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Deskripsi</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Acuan</w:t>
            </w:r>
          </w:p>
        </w:tc>
      </w:tr>
      <w:tr>
        <w:tc>
          <w:tcPr>
            <w:tcW w:type="dxa" w:w="2600"/>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vAlign w:val="center"/>
          </w:tcPr>
          <w:p>
            <w:pPr>
              <w:jc w:val="left"/>
            </w:pPr>
            <w:r>
              <w:rPr>
                <w:rFonts w:ascii="Arial" w:cs="Arial" w:eastAsia="Arial" w:hAnsi="Arial"/>
                <w:b/>
                <w:bCs/>
                <w:color w:val="C00000"/>
                <w:sz w:val="18"/>
                <w:szCs w:val="18"/>
              </w:rPr>
              <w:t xml:space="preserve">Sanksi Administratif</w:t>
            </w:r>
          </w:p>
        </w:tc>
        <w:tc>
          <w:tcPr>
            <w:tcW w:type="dxa" w:w="4760"/>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Teguran tertulis, perintah penghentian pemrosesan</w:t>
            </w:r>
          </w:p>
        </w:tc>
        <w:tc>
          <w:tcPr>
            <w:tcW w:type="dxa" w:w="2000"/>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vAlign w:val="center"/>
          </w:tcPr>
          <w:p>
            <w:pPr>
              <w:jc w:val="left"/>
            </w:pPr>
            <w:r>
              <w:rPr>
                <w:rFonts w:ascii="Arial" w:cs="Arial" w:eastAsia="Arial" w:hAnsi="Arial"/>
                <w:b w:val="false"/>
                <w:bCs w:val="false"/>
                <w:color w:val="C00000"/>
                <w:sz w:val="18"/>
                <w:szCs w:val="18"/>
              </w:rPr>
              <w:t xml:space="preserve">Pasal 57</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C00000"/>
                <w:sz w:val="18"/>
                <w:szCs w:val="18"/>
              </w:rPr>
              <w:t xml:space="preserve">Denda Administratif</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Hingga 2% dari pendapatan tahunan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C00000"/>
                <w:sz w:val="18"/>
                <w:szCs w:val="18"/>
              </w:rPr>
              <w:t xml:space="preserve">Pasal 57</w:t>
            </w:r>
          </w:p>
        </w:tc>
      </w:tr>
      <w:tr>
        <w:tc>
          <w:tcPr>
            <w:tcW w:type="dxa" w:w="2600"/>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vAlign w:val="center"/>
          </w:tcPr>
          <w:p>
            <w:pPr>
              <w:jc w:val="left"/>
            </w:pPr>
            <w:r>
              <w:rPr>
                <w:rFonts w:ascii="Arial" w:cs="Arial" w:eastAsia="Arial" w:hAnsi="Arial"/>
                <w:b/>
                <w:bCs/>
                <w:color w:val="C00000"/>
                <w:sz w:val="18"/>
                <w:szCs w:val="18"/>
              </w:rPr>
              <w:t xml:space="preserve">Pidana Penjara</w:t>
            </w:r>
          </w:p>
        </w:tc>
        <w:tc>
          <w:tcPr>
            <w:tcW w:type="dxa" w:w="4760"/>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Hingga 6 tahun untuk penyalahgunaan data (Pasal 67)</w:t>
            </w:r>
          </w:p>
        </w:tc>
        <w:tc>
          <w:tcPr>
            <w:tcW w:type="dxa" w:w="2000"/>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vAlign w:val="center"/>
          </w:tcPr>
          <w:p>
            <w:pPr>
              <w:jc w:val="left"/>
            </w:pPr>
            <w:r>
              <w:rPr>
                <w:rFonts w:ascii="Arial" w:cs="Arial" w:eastAsia="Arial" w:hAnsi="Arial"/>
                <w:b w:val="false"/>
                <w:bCs w:val="false"/>
                <w:color w:val="C00000"/>
                <w:sz w:val="18"/>
                <w:szCs w:val="18"/>
              </w:rPr>
              <w:t xml:space="preserve">Pasal 67</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C00000"/>
                <w:sz w:val="18"/>
                <w:szCs w:val="18"/>
              </w:rPr>
              <w:t xml:space="preserve">Denda Pidana</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Hingga Rp 6 Miliar untuk penyalahgunaan data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C00000"/>
                <w:sz w:val="18"/>
                <w:szCs w:val="18"/>
              </w:rPr>
              <w:t xml:space="preserve">Pasal 67</w:t>
            </w:r>
          </w:p>
        </w:tc>
      </w:tr>
      <w:tr>
        <w:tc>
          <w:tcPr>
            <w:tcW w:type="dxa" w:w="2600"/>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vAlign w:val="center"/>
          </w:tcPr>
          <w:p>
            <w:pPr>
              <w:jc w:val="left"/>
            </w:pPr>
            <w:r>
              <w:rPr>
                <w:rFonts w:ascii="Arial" w:cs="Arial" w:eastAsia="Arial" w:hAnsi="Arial"/>
                <w:b/>
                <w:bCs/>
                <w:color w:val="C00000"/>
                <w:sz w:val="18"/>
                <w:szCs w:val="18"/>
              </w:rPr>
              <w:t xml:space="preserve">Gugatan Perdata</w:t>
            </w:r>
          </w:p>
        </w:tc>
        <w:tc>
          <w:tcPr>
            <w:tcW w:type="dxa" w:w="4760"/>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Subjek data dapat menuntut ganti rugi</w:t>
            </w:r>
          </w:p>
        </w:tc>
        <w:tc>
          <w:tcPr>
            <w:tcW w:type="dxa" w:w="2000"/>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vAlign w:val="center"/>
          </w:tcPr>
          <w:p>
            <w:pPr>
              <w:jc w:val="left"/>
            </w:pPr>
            <w:r>
              <w:rPr>
                <w:rFonts w:ascii="Arial" w:cs="Arial" w:eastAsia="Arial" w:hAnsi="Arial"/>
                <w:b w:val="false"/>
                <w:bCs w:val="false"/>
                <w:color w:val="C00000"/>
                <w:sz w:val="18"/>
                <w:szCs w:val="18"/>
              </w:rPr>
              <w:t xml:space="preserve">Pasal 12</w:t>
            </w:r>
          </w:p>
        </w:tc>
      </w:tr>
    </w:tbl>
    <w:p>
      <w:pPr>
        <w:spacing w:before="60" w:after="60"/>
      </w:pPr>
      <w:r>
        <w:t xml:space="preserve"/>
      </w:r>
    </w:p>
    <w:p>
      <w:pPr>
        <w:pStyle w:val="Heading1"/>
        <w:spacing w:before="320" w:after="160"/>
      </w:pPr>
      <w:r>
        <w:rPr>
          <w:rFonts w:ascii="Arial" w:cs="Arial" w:eastAsia="Arial" w:hAnsi="Arial"/>
          <w:b/>
          <w:bCs/>
          <w:color w:val="1F4E79"/>
          <w:sz w:val="28"/>
          <w:szCs w:val="28"/>
        </w:rPr>
        <w:t xml:space="preserve">8. Indikator Keberhasilan (KPI Kepatuhan)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36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No.</w:t>
            </w:r>
          </w:p>
        </w:tc>
        <w:tc>
          <w:tcPr>
            <w:tcW w:type="dxa" w:w="5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Indikator Keberhasilan</w:t>
            </w:r>
          </w:p>
        </w:tc>
        <w:tc>
          <w:tcPr>
            <w:tcW w:type="dxa" w:w="3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Target</w:t>
            </w:r>
          </w:p>
        </w:tc>
      </w:tr>
      <w:tr>
        <w:tc>
          <w:tcPr>
            <w:tcW w:type="dxa" w:w="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1</w:t>
            </w:r>
          </w:p>
        </w:tc>
        <w:tc>
          <w:tcPr>
            <w:tcW w:type="dxa" w:w="516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DPO telah ditunjuk dan SK diterbitkan</w:t>
            </w:r>
          </w:p>
        </w:tc>
        <w:tc>
          <w:tcPr>
            <w:tcW w:type="dxa" w:w="3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Bulan ke-1</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2</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RoPA mencakup 100% unit bisnis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Bulan ke-3</w:t>
            </w:r>
          </w:p>
        </w:tc>
      </w:tr>
      <w:tr>
        <w:tc>
          <w:tcPr>
            <w:tcW w:type="dxa" w:w="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3</w:t>
            </w:r>
          </w:p>
        </w:tc>
        <w:tc>
          <w:tcPr>
            <w:tcW w:type="dxa" w:w="516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Privacy Notice dipublikasikan dan accessible</w:t>
            </w:r>
          </w:p>
        </w:tc>
        <w:tc>
          <w:tcPr>
            <w:tcW w:type="dxa" w:w="3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Bulan ke-4</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4</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SOP pemenuhan hak subjek data tersedia + SLA ditetapkan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Bulan ke-5</w:t>
            </w:r>
          </w:p>
        </w:tc>
      </w:tr>
      <w:tr>
        <w:tc>
          <w:tcPr>
            <w:tcW w:type="dxa" w:w="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5</w:t>
            </w:r>
          </w:p>
        </w:tc>
        <w:tc>
          <w:tcPr>
            <w:tcW w:type="dxa" w:w="516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Seluruh kontrak vendor telah memiliki klausul DPA</w:t>
            </w:r>
          </w:p>
        </w:tc>
        <w:tc>
          <w:tcPr>
            <w:tcW w:type="dxa" w:w="3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Bulan ke-7</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6</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Minimal 1 DPIA selesai untuk pemrosesan berisiko tinggi</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Bulan ke-7</w:t>
            </w:r>
          </w:p>
        </w:tc>
      </w:tr>
      <w:tr>
        <w:tc>
          <w:tcPr>
            <w:tcW w:type="dxa" w:w="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7</w:t>
            </w:r>
          </w:p>
        </w:tc>
        <w:tc>
          <w:tcPr>
            <w:tcW w:type="dxa" w:w="516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100% karyawan telah mendapat pelatihan PDP dasar</w:t>
            </w:r>
          </w:p>
        </w:tc>
        <w:tc>
          <w:tcPr>
            <w:tcW w:type="dxa" w:w="3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Bulan ke-9</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8</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Audit internal pertama selesai dan temuan ditindaklanjuti</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Bulan ke-10</w:t>
            </w:r>
          </w:p>
        </w:tc>
      </w:tr>
      <w:tr>
        <w:tc>
          <w:tcPr>
            <w:tcW w:type="dxa" w:w="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9</w:t>
            </w:r>
          </w:p>
        </w:tc>
        <w:tc>
          <w:tcPr>
            <w:tcW w:type="dxa" w:w="516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Simulasi respons insiden siber telah dilaksanakan</w:t>
            </w:r>
          </w:p>
        </w:tc>
        <w:tc>
          <w:tcPr>
            <w:tcW w:type="dxa" w:w="3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Bulan ke-8</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18"/>
                <w:szCs w:val="18"/>
              </w:rPr>
              <w:t xml:space="preserve">10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8"/>
                <w:szCs w:val="18"/>
              </w:rPr>
              <w:t xml:space="preserve">Tidak ada temuan sanksi regulasi mayor dalam tahun pertama</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F4E79"/>
                <w:sz w:val="18"/>
                <w:szCs w:val="18"/>
              </w:rPr>
              <w:t xml:space="preserve">Akhir tahun ke-1</w:t>
            </w:r>
          </w:p>
        </w:tc>
      </w:tr>
    </w:tbl>
    <w:p>
      <w:pPr>
        <w:spacing w:before="60" w:after="60"/>
      </w:pPr>
      <w:r>
        <w:t xml:space="preserve"/>
      </w:r>
    </w:p>
    <w:p>
      <w:pPr>
        <w:pStyle w:val="Heading1"/>
        <w:spacing w:before="320" w:after="160"/>
      </w:pPr>
      <w:r>
        <w:rPr>
          <w:rFonts w:ascii="Arial" w:cs="Arial" w:eastAsia="Arial" w:hAnsi="Arial"/>
          <w:b/>
          <w:bCs/>
          <w:color w:val="1F4E79"/>
          <w:sz w:val="28"/>
          <w:szCs w:val="28"/>
        </w:rPr>
        <w:t xml:space="preserve">9. Catatan Penting</w:t>
      </w:r>
    </w:p>
    <w:p>
      <w:pPr>
        <w:spacing w:before="60" w:after="60"/>
      </w:pPr>
      <w:r>
        <w:rPr>
          <w:rFonts w:ascii="Arial" w:cs="Arial" w:eastAsia="Arial" w:hAnsi="Arial"/>
          <w:b/>
          <w:bCs/>
          <w:sz w:val="20"/>
          <w:szCs w:val="20"/>
        </w:rPr>
        <w:t xml:space="preserve">Beberapa hal kritis yang perlu diperhatikan selama implementasi:</w:t>
      </w:r>
    </w:p>
    <w:p>
      <w:pPr>
        <w:pStyle w:val="ListParagraph"/>
        <w:numPr>
          <w:ilvl w:val="0"/>
          <w:numId w:val="2"/>
        </w:numPr>
        <w:spacing w:before="40" w:after="40"/>
      </w:pPr>
      <w:r>
        <w:rPr>
          <w:rFonts w:ascii="Arial" w:cs="Arial" w:eastAsia="Arial" w:hAnsi="Arial"/>
          <w:sz w:val="20"/>
          <w:szCs w:val="20"/>
        </w:rPr>
        <w:t xml:space="preserve">Masa penyesuaian UU PDP (Pasal 74): Organisasi diberikan masa transisi. Segera mulai implementasi tanpa menunggu batas akhir.</w:t>
      </w:r>
    </w:p>
    <w:p>
      <w:pPr>
        <w:pStyle w:val="ListParagraph"/>
        <w:numPr>
          <w:ilvl w:val="0"/>
          <w:numId w:val="2"/>
        </w:numPr>
        <w:spacing w:before="40" w:after="40"/>
      </w:pPr>
      <w:r>
        <w:rPr>
          <w:rFonts w:ascii="Arial" w:cs="Arial" w:eastAsia="Arial" w:hAnsi="Arial"/>
          <w:sz w:val="20"/>
          <w:szCs w:val="20"/>
        </w:rPr>
        <w:t xml:space="preserve">Pendekatan berbasis risiko: Fokuskan sumber daya pada pemrosesan dengan risiko tertinggi terlebih dahulu.</w:t>
      </w:r>
    </w:p>
    <w:p>
      <w:pPr>
        <w:pStyle w:val="ListParagraph"/>
        <w:numPr>
          <w:ilvl w:val="0"/>
          <w:numId w:val="2"/>
        </w:numPr>
        <w:spacing w:before="40" w:after="40"/>
      </w:pPr>
      <w:r>
        <w:rPr>
          <w:rFonts w:ascii="Arial" w:cs="Arial" w:eastAsia="Arial" w:hAnsi="Arial"/>
          <w:sz w:val="20"/>
          <w:szCs w:val="20"/>
        </w:rPr>
        <w:t xml:space="preserve">Dokumentasi adalah kunci: Setiap langkah kepatuhan harus dapat dibuktikan dengan dokumen — regulator akan meminta bukti, bukan sekadar klaim.</w:t>
      </w:r>
    </w:p>
    <w:p>
      <w:pPr>
        <w:pStyle w:val="ListParagraph"/>
        <w:numPr>
          <w:ilvl w:val="0"/>
          <w:numId w:val="2"/>
        </w:numPr>
        <w:spacing w:before="40" w:after="40"/>
      </w:pPr>
      <w:r>
        <w:rPr>
          <w:rFonts w:ascii="Arial" w:cs="Arial" w:eastAsia="Arial" w:hAnsi="Arial"/>
          <w:sz w:val="20"/>
          <w:szCs w:val="20"/>
        </w:rPr>
        <w:t xml:space="preserve">Privacy by design: Setiap sistem baru harus dirancang dengan mempertimbangkan pelindungan data pribadi sejak awal.</w:t>
      </w:r>
    </w:p>
    <w:p>
      <w:pPr>
        <w:pStyle w:val="ListParagraph"/>
        <w:numPr>
          <w:ilvl w:val="0"/>
          <w:numId w:val="2"/>
        </w:numPr>
        <w:spacing w:before="40" w:after="40"/>
      </w:pPr>
      <w:r>
        <w:rPr>
          <w:rFonts w:ascii="Arial" w:cs="Arial" w:eastAsia="Arial" w:hAnsi="Arial"/>
          <w:sz w:val="20"/>
          <w:szCs w:val="20"/>
        </w:rPr>
        <w:t xml:space="preserve">Kepatuhan adalah proses berkelanjutan: Program PDP bukan proyek satu kali — harus ada monitoring, audit, dan perbaikan terus-menerus.</w:t>
      </w:r>
    </w:p>
    <w:p>
      <w:pPr>
        <w:pStyle w:val="ListParagraph"/>
        <w:numPr>
          <w:ilvl w:val="0"/>
          <w:numId w:val="2"/>
        </w:numPr>
        <w:spacing w:before="40" w:after="40"/>
      </w:pPr>
      <w:r>
        <w:rPr>
          <w:rFonts w:ascii="Arial" w:cs="Arial" w:eastAsia="Arial" w:hAnsi="Arial"/>
          <w:sz w:val="20"/>
          <w:szCs w:val="20"/>
        </w:rPr>
        <w:t xml:space="preserve">Libatkan semua lini: Kepatuhan UU PDP bukan hanya tanggung jawab Legal atau IT, tetapi seluruh organisasi.</w:t>
      </w:r>
    </w:p>
    <w:p>
      <w:pPr>
        <w:spacing w:before="60" w:after="60"/>
      </w:pPr>
      <w:r>
        <w:t xml:space="preserve"/>
      </w:r>
    </w:p>
    <w:p>
      <w:pPr>
        <w:pBdr>
          <w:top w:val="single" w:color="1F4E79" w:sz="6" w:space="1"/>
        </w:pBdr>
        <w:spacing w:before="120" w:after="60"/>
      </w:pPr>
      <w:r>
        <w:rPr>
          <w:rFonts w:ascii="Arial" w:cs="Arial" w:eastAsia="Arial" w:hAnsi="Arial"/>
          <w:i/>
          <w:iCs/>
          <w:color w:val="7F7F7F"/>
          <w:sz w:val="16"/>
          <w:szCs w:val="16"/>
        </w:rPr>
        <w:t xml:space="preserve">Dokumen ini bersifat panduan internal dan harus disesuaikan dengan kondisi spesifik organisasi. Konsultasikan dengan ahli hukum atau konsultan PDP untuk implementasi yang optimal.</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7F7F7F"/>
        <w:sz w:val="16"/>
        <w:szCs w:val="16"/>
      </w:rPr>
      <w:t xml:space="preserve">Project Plan Implementasi UU PDP  |  Halaman </w:t>
    </w:r>
    <w:r>
      <w:rPr>
        <w:rFonts w:ascii="Arial" w:cs="Arial" w:eastAsia="Arial" w:hAnsi="Arial"/>
        <w:color w:val="7F7F7F"/>
        <w:sz w:val="16"/>
        <w:szCs w:val="16"/>
      </w:rPr>
      <w:fldChar w:fldCharType="begin"/>
      <w:instrText xml:space="preserve">PAGE</w:instrText>
      <w:fldChar w:fldCharType="separate"/>
      <w:fldChar w:fldCharType="end"/>
    </w:r>
    <w:r>
      <w:rPr>
        <w:rFonts w:ascii="Arial" w:cs="Arial" w:eastAsia="Arial" w:hAnsi="Arial"/>
        <w:color w:val="7F7F7F"/>
        <w:sz w:val="16"/>
        <w:szCs w:val="16"/>
      </w:rPr>
      <w:t xml:space="preserve"> dari </w:t>
    </w:r>
    <w:r>
      <w:rPr>
        <w:rFonts w:ascii="Arial" w:cs="Arial" w:eastAsia="Arial" w:hAnsi="Arial"/>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4" w:space="1"/>
      </w:pBdr>
      <w:spacing w:before="32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2026-03-26T04:16:25.483Z</dcterms:created>
  <dcterms:modified xsi:type="dcterms:W3CDTF">2026-03-26T04:16:25.484Z</dcterms:modified>
</cp:coreProperties>
</file>

<file path=docProps/custom.xml><?xml version="1.0" encoding="utf-8"?>
<Properties xmlns="http://schemas.openxmlformats.org/officeDocument/2006/custom-properties" xmlns:vt="http://schemas.openxmlformats.org/officeDocument/2006/docPropsVTypes"/>
</file>