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Kebijakan dan SOP Keamanan Data</w:t>
      </w:r>
    </w:p>
    <w:p>
      <w:pPr>
        <w:jc w:val="center"/>
      </w:pPr>
      <w:r>
        <w:rPr>
          <w:color w:val="2E74B5"/>
          <w:sz w:val="24"/>
        </w:rPr>
        <w:t>Data Security Policy &amp; Standard Operating Procedure</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ISMS-DS-001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RAHASIA - INTERNAL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Februari 2026</w:t>
            </w:r>
          </w:p>
        </w:tc>
        <w:tc>
          <w:tcPr>
            <w:tcW w:type="dxa" w:w="1871"/>
            <w:shd w:val="clear" w:color="auto" w:fill="DEEAF1"/>
          </w:tcPr>
          <w:p>
            <w:r>
              <w:rPr>
                <w:sz w:val="18"/>
              </w:rPr>
              <w:t>Tim IT Security / DPO</w:t>
            </w:r>
          </w:p>
        </w:tc>
        <w:tc>
          <w:tcPr>
            <w:tcW w:type="dxa" w:w="1871"/>
            <w:shd w:val="clear" w:color="auto" w:fill="DEEAF1"/>
          </w:tcPr>
          <w:p>
            <w:r>
              <w:rPr>
                <w:sz w:val="18"/>
              </w:rPr>
              <w:t>CISO</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Tim IT Security / DPO</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r>
        <w:tc>
          <w:tcPr>
            <w:tcW w:type="dxa" w:w="2339"/>
            <w:shd w:val="clear" w:color="auto" w:fill="F2F7FB"/>
          </w:tcPr>
          <w:p>
            <w:r>
              <w:rPr>
                <w:sz w:val="18"/>
              </w:rPr>
              <w:t>Pemeriksa</w:t>
            </w:r>
          </w:p>
        </w:tc>
        <w:tc>
          <w:tcPr>
            <w:tcW w:type="dxa" w:w="2339"/>
            <w:shd w:val="clear" w:color="auto" w:fill="F2F7FB"/>
          </w:tcPr>
          <w:p>
            <w:r>
              <w:rPr>
                <w:sz w:val="18"/>
              </w:rPr>
              <w:t>CISO</w:t>
            </w:r>
          </w:p>
        </w:tc>
        <w:tc>
          <w:tcPr>
            <w:tcW w:type="dxa" w:w="2339"/>
            <w:shd w:val="clear" w:color="auto" w:fill="F2F7FB"/>
          </w:tcPr>
          <w:p>
            <w:r>
              <w:rPr>
                <w:sz w:val="18"/>
              </w:rPr>
              <w:t>_______________</w:t>
            </w:r>
          </w:p>
        </w:tc>
        <w:tc>
          <w:tcPr>
            <w:tcW w:type="dxa" w:w="2339"/>
            <w:shd w:val="clear" w:color="auto" w:fill="F2F7FB"/>
          </w:tcPr>
          <w:p>
            <w:r>
              <w:rPr>
                <w:sz w:val="18"/>
              </w:rPr>
              <w:t>Februari 2026</w:t>
            </w:r>
          </w:p>
        </w:tc>
      </w:tr>
      <w:tr>
        <w:tc>
          <w:tcPr>
            <w:tcW w:type="dxa" w:w="2339"/>
            <w:shd w:val="clear" w:color="auto" w:fill="DEEAF1"/>
          </w:tcPr>
          <w:p>
            <w:r>
              <w:rPr>
                <w:sz w:val="18"/>
              </w:rPr>
              <w:t>Menyetujui</w:t>
            </w:r>
          </w:p>
        </w:tc>
        <w:tc>
          <w:tcPr>
            <w:tcW w:type="dxa" w:w="2339"/>
            <w:shd w:val="clear" w:color="auto" w:fill="DEEAF1"/>
          </w:tcPr>
          <w:p>
            <w:r>
              <w:rPr>
                <w:sz w:val="18"/>
              </w:rPr>
              <w:t>Direktur Utama</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bl>
    <w:p>
      <w:r>
        <w:br w:type="page"/>
      </w:r>
    </w:p>
    <w:p>
      <w:pPr>
        <w:spacing w:before="280" w:after="120"/>
        <w:pBdr>
          <w:bottom w:val="single" w:sz="6" w:color="1F497D"/>
        </w:pBdr>
      </w:pPr>
      <w:r>
        <w:rPr>
          <w:b/>
          <w:color w:val="1F497D"/>
          <w:sz w:val="28"/>
        </w:rPr>
        <w:t>BAGIAN A — KEBIJAKAN KEAMANAN DATA</w:t>
      </w:r>
    </w:p>
    <w:p>
      <w:pPr>
        <w:spacing w:before="200" w:after="120"/>
      </w:pPr>
      <w:r>
        <w:rPr>
          <w:b/>
          <w:color w:val="2E74B5"/>
          <w:sz w:val="24"/>
        </w:rPr>
        <w:t>1. Pendahuluan dan Latar Belakang</w:t>
      </w:r>
    </w:p>
    <w:p>
      <w:pPr>
        <w:spacing w:before="40" w:after="80"/>
      </w:pPr>
      <w:r>
        <w:rPr>
          <w:sz w:val="22"/>
        </w:rPr>
        <w:t>PT Equity Life Indonesia memproses data dalam skala besar sebagai perusahaan asuransi jiwa, mencakup data pribadi nasabah (termasuk data kesehatan dan keuangan), data aktuaria, data klaim, dan data korporat. Perlindungan data ini merupakan kewajiban hukum berdasarkan Undang-Undang No. 27 Tahun 2022 tentang Perlindungan Data Pribadi (UU PDP), regulasi OJK, dan standar internasional ISO/IEC 27001:2022.</w:t>
      </w:r>
    </w:p>
    <w:p>
      <w:pPr>
        <w:spacing w:before="40" w:after="80"/>
      </w:pPr>
      <w:r>
        <w:rPr>
          <w:sz w:val="22"/>
        </w:rPr>
        <w:t>Kebijakan ini menetapkan kerangka kerja komprehensif untuk melindungi data di seluruh siklus hidupnya: dari penciptaan, penggunaan, berbagi, penyimpanan, hingga penghapusan.</w:t>
      </w:r>
    </w:p>
    <w:p>
      <w:pPr>
        <w:spacing w:before="200" w:after="120"/>
      </w:pPr>
      <w:r>
        <w:rPr>
          <w:b/>
          <w:color w:val="2E74B5"/>
          <w:sz w:val="24"/>
        </w:rPr>
        <w:t>2. Tujuan</w:t>
      </w:r>
    </w:p>
    <w:p>
      <w:pPr>
        <w:pStyle w:val="ListBullet"/>
        <w:spacing w:before="40" w:after="40"/>
        <w:ind w:left="567"/>
      </w:pPr>
      <w:r>
        <w:rPr>
          <w:sz w:val="22"/>
        </w:rPr>
        <w:t>Menjamin kerahasiaan, integritas, dan ketersediaan seluruh data yang dikelola Perusahaan.</w:t>
      </w:r>
    </w:p>
    <w:p>
      <w:pPr>
        <w:pStyle w:val="ListBullet"/>
        <w:spacing w:before="40" w:after="40"/>
        <w:ind w:left="567"/>
      </w:pPr>
      <w:r>
        <w:rPr>
          <w:sz w:val="22"/>
        </w:rPr>
        <w:t>Memastikan kepatuhan terhadap UU PDP No. 27/2022, POJK, dan regulasi perlindungan data yang berlaku.</w:t>
      </w:r>
    </w:p>
    <w:p>
      <w:pPr>
        <w:pStyle w:val="ListBullet"/>
        <w:spacing w:before="40" w:after="40"/>
        <w:ind w:left="567"/>
      </w:pPr>
      <w:r>
        <w:rPr>
          <w:sz w:val="22"/>
        </w:rPr>
        <w:t>Mencegah kebocoran, pencurian, manipulasi, dan kehilangan data.</w:t>
      </w:r>
    </w:p>
    <w:p>
      <w:pPr>
        <w:pStyle w:val="ListBullet"/>
        <w:spacing w:before="40" w:after="40"/>
        <w:ind w:left="567"/>
      </w:pPr>
      <w:r>
        <w:rPr>
          <w:sz w:val="22"/>
        </w:rPr>
        <w:t>Menetapkan standar minimum perlindungan data untuk semua sistem, proses, dan pihak yang menangani data Perusahaan.</w:t>
      </w:r>
    </w:p>
    <w:p>
      <w:pPr>
        <w:pStyle w:val="ListBullet"/>
        <w:spacing w:before="40" w:after="40"/>
        <w:ind w:left="567"/>
      </w:pPr>
      <w:r>
        <w:rPr>
          <w:sz w:val="22"/>
        </w:rPr>
        <w:t>Mendukung hak-hak subjek data (nasabah) terkait privasi sesuai UU PDP.</w:t>
      </w:r>
    </w:p>
    <w:p>
      <w:pPr>
        <w:spacing w:before="200" w:after="120"/>
      </w:pPr>
      <w:r>
        <w:rPr>
          <w:b/>
          <w:color w:val="2E74B5"/>
          <w:sz w:val="24"/>
        </w:rPr>
        <w:t>3. Klasifikasi Data</w:t>
      </w:r>
    </w:p>
    <w:p>
      <w:pPr>
        <w:spacing w:before="40" w:after="80"/>
      </w:pPr>
      <w:r>
        <w:rPr>
          <w:sz w:val="22"/>
        </w:rPr>
        <w:t>Seluruh data yang dikelola PT Equity Life Indonesia diklasifikasikan sebagai berikut untuk memastikan penanganan yang proporsional:</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Klasifikasi</w:t>
            </w:r>
          </w:p>
        </w:tc>
        <w:tc>
          <w:tcPr>
            <w:tcW w:type="dxa" w:w="1871"/>
            <w:shd w:val="clear" w:color="auto" w:fill="1F497D"/>
          </w:tcPr>
          <w:p>
            <w:r>
              <w:rPr>
                <w:b/>
                <w:color w:val="FFFFFF"/>
                <w:sz w:val="18"/>
              </w:rPr>
              <w:t>Deskripsi</w:t>
            </w:r>
          </w:p>
        </w:tc>
        <w:tc>
          <w:tcPr>
            <w:tcW w:type="dxa" w:w="1871"/>
            <w:shd w:val="clear" w:color="auto" w:fill="1F497D"/>
          </w:tcPr>
          <w:p>
            <w:r>
              <w:rPr>
                <w:b/>
                <w:color w:val="FFFFFF"/>
                <w:sz w:val="18"/>
              </w:rPr>
              <w:t>Contoh Data</w:t>
            </w:r>
          </w:p>
        </w:tc>
        <w:tc>
          <w:tcPr>
            <w:tcW w:type="dxa" w:w="1871"/>
            <w:shd w:val="clear" w:color="auto" w:fill="1F497D"/>
          </w:tcPr>
          <w:p>
            <w:r>
              <w:rPr>
                <w:b/>
                <w:color w:val="FFFFFF"/>
                <w:sz w:val="18"/>
              </w:rPr>
              <w:t>Kontrol Minimum</w:t>
            </w:r>
          </w:p>
        </w:tc>
        <w:tc>
          <w:tcPr>
            <w:tcW w:type="dxa" w:w="1871"/>
            <w:shd w:val="clear" w:color="auto" w:fill="1F497D"/>
          </w:tcPr>
          <w:p>
            <w:r>
              <w:rPr>
                <w:b/>
                <w:color w:val="FFFFFF"/>
                <w:sz w:val="18"/>
              </w:rPr>
              <w:t>Retensi</w:t>
            </w:r>
          </w:p>
        </w:tc>
      </w:tr>
      <w:tr>
        <w:tc>
          <w:tcPr>
            <w:tcW w:type="dxa" w:w="1871"/>
            <w:shd w:val="clear" w:color="auto" w:fill="FF4444"/>
          </w:tcPr>
          <w:p>
            <w:r>
              <w:rPr>
                <w:b/>
                <w:color w:val="FFFFFF"/>
                <w:sz w:val="16"/>
              </w:rPr>
              <w:t>SANGAT RAHASIA</w:t>
            </w:r>
          </w:p>
        </w:tc>
        <w:tc>
          <w:tcPr>
            <w:tcW w:type="dxa" w:w="1871"/>
            <w:shd w:val="clear" w:color="auto" w:fill="DEEAF1"/>
          </w:tcPr>
          <w:p>
            <w:r>
              <w:rPr>
                <w:sz w:val="16"/>
              </w:rPr>
              <w:t>Data yang jika bocor dapat menyebabkan kerugian katastrofik</w:t>
            </w:r>
          </w:p>
        </w:tc>
        <w:tc>
          <w:tcPr>
            <w:tcW w:type="dxa" w:w="1871"/>
            <w:shd w:val="clear" w:color="auto" w:fill="DEEAF1"/>
          </w:tcPr>
          <w:p>
            <w:r>
              <w:rPr>
                <w:sz w:val="16"/>
              </w:rPr>
              <w:t>Nomor polis, data klaim kesehatan, kunci enkripsi, password hash, data aktuaria sensitif</w:t>
            </w:r>
          </w:p>
        </w:tc>
        <w:tc>
          <w:tcPr>
            <w:tcW w:type="dxa" w:w="1871"/>
            <w:shd w:val="clear" w:color="auto" w:fill="DEEAF1"/>
          </w:tcPr>
          <w:p>
            <w:r>
              <w:rPr>
                <w:sz w:val="16"/>
              </w:rPr>
              <w:t>Enkripsi AES-256, akses MFA wajib, audit log lengkap, no-print policy, DLP monitoring ketat</w:t>
            </w:r>
          </w:p>
        </w:tc>
        <w:tc>
          <w:tcPr>
            <w:tcW w:type="dxa" w:w="1871"/>
            <w:shd w:val="clear" w:color="auto" w:fill="DEEAF1"/>
          </w:tcPr>
          <w:p>
            <w:r>
              <w:rPr>
                <w:sz w:val="16"/>
              </w:rPr>
              <w:t>Sesuai regulasi (min. 5 tahun setelah kontrak berakhir)</w:t>
            </w:r>
          </w:p>
        </w:tc>
      </w:tr>
      <w:tr>
        <w:tc>
          <w:tcPr>
            <w:tcW w:type="dxa" w:w="1871"/>
            <w:shd w:val="clear" w:color="auto" w:fill="FF8C00"/>
          </w:tcPr>
          <w:p>
            <w:r>
              <w:rPr>
                <w:b/>
                <w:color w:val="FFFFFF"/>
                <w:sz w:val="16"/>
              </w:rPr>
              <w:t>RAHASIA</w:t>
            </w:r>
          </w:p>
        </w:tc>
        <w:tc>
          <w:tcPr>
            <w:tcW w:type="dxa" w:w="1871"/>
            <w:shd w:val="clear" w:color="auto" w:fill="F2F7FB"/>
          </w:tcPr>
          <w:p>
            <w:r>
              <w:rPr>
                <w:sz w:val="16"/>
              </w:rPr>
              <w:t>Data sensitif yang distribusinya sangat dibatasi</w:t>
            </w:r>
          </w:p>
        </w:tc>
        <w:tc>
          <w:tcPr>
            <w:tcW w:type="dxa" w:w="1871"/>
            <w:shd w:val="clear" w:color="auto" w:fill="F2F7FB"/>
          </w:tcPr>
          <w:p>
            <w:r>
              <w:rPr>
                <w:sz w:val="16"/>
              </w:rPr>
              <w:t>Data KTP/NIK nasabah, tanggal lahir, data kesehatan, premi, data keuangan pribadi</w:t>
            </w:r>
          </w:p>
        </w:tc>
        <w:tc>
          <w:tcPr>
            <w:tcW w:type="dxa" w:w="1871"/>
            <w:shd w:val="clear" w:color="auto" w:fill="F2F7FB"/>
          </w:tcPr>
          <w:p>
            <w:r>
              <w:rPr>
                <w:sz w:val="16"/>
              </w:rPr>
              <w:t>Enkripsi wajib, RBAC ketat, watermarking, tidak boleh dikirim tanpa enkripsi</w:t>
            </w:r>
          </w:p>
        </w:tc>
        <w:tc>
          <w:tcPr>
            <w:tcW w:type="dxa" w:w="1871"/>
            <w:shd w:val="clear" w:color="auto" w:fill="F2F7FB"/>
          </w:tcPr>
          <w:p>
            <w:r>
              <w:rPr>
                <w:sz w:val="16"/>
              </w:rPr>
              <w:t>5-10 tahun sesuai ketentuan OJK</w:t>
            </w:r>
          </w:p>
        </w:tc>
      </w:tr>
      <w:tr>
        <w:tc>
          <w:tcPr>
            <w:tcW w:type="dxa" w:w="1871"/>
            <w:shd w:val="clear" w:color="auto" w:fill="2E74B5"/>
          </w:tcPr>
          <w:p>
            <w:r>
              <w:rPr>
                <w:b/>
                <w:color w:val="FFFFFF"/>
                <w:sz w:val="16"/>
              </w:rPr>
              <w:t>INTERNAL</w:t>
            </w:r>
          </w:p>
        </w:tc>
        <w:tc>
          <w:tcPr>
            <w:tcW w:type="dxa" w:w="1871"/>
            <w:shd w:val="clear" w:color="auto" w:fill="DEEAF1"/>
          </w:tcPr>
          <w:p>
            <w:r>
              <w:rPr>
                <w:sz w:val="16"/>
              </w:rPr>
              <w:t>Data bisnis untuk penggunaan internal saja</w:t>
            </w:r>
          </w:p>
        </w:tc>
        <w:tc>
          <w:tcPr>
            <w:tcW w:type="dxa" w:w="1871"/>
            <w:shd w:val="clear" w:color="auto" w:fill="DEEAF1"/>
          </w:tcPr>
          <w:p>
            <w:r>
              <w:rPr>
                <w:sz w:val="16"/>
              </w:rPr>
              <w:t>Laporan internal, data karyawan, strategi produk, data agen</w:t>
            </w:r>
          </w:p>
        </w:tc>
        <w:tc>
          <w:tcPr>
            <w:tcW w:type="dxa" w:w="1871"/>
            <w:shd w:val="clear" w:color="auto" w:fill="DEEAF1"/>
          </w:tcPr>
          <w:p>
            <w:r>
              <w:rPr>
                <w:sz w:val="16"/>
              </w:rPr>
              <w:t>Akses terbatas karyawan, tidak boleh dibagikan ke luar tanpa izin</w:t>
            </w:r>
          </w:p>
        </w:tc>
        <w:tc>
          <w:tcPr>
            <w:tcW w:type="dxa" w:w="1871"/>
            <w:shd w:val="clear" w:color="auto" w:fill="DEEAF1"/>
          </w:tcPr>
          <w:p>
            <w:r>
              <w:rPr>
                <w:sz w:val="16"/>
              </w:rPr>
              <w:t>5 tahun atau sesuai kebutuhan bisnis</w:t>
            </w:r>
          </w:p>
        </w:tc>
      </w:tr>
      <w:tr>
        <w:tc>
          <w:tcPr>
            <w:tcW w:type="dxa" w:w="1871"/>
            <w:shd w:val="clear" w:color="auto" w:fill="2ECC40"/>
          </w:tcPr>
          <w:p>
            <w:r>
              <w:rPr>
                <w:b/>
                <w:color w:val="FFFFFF"/>
                <w:sz w:val="16"/>
              </w:rPr>
              <w:t>PUBLIK</w:t>
            </w:r>
          </w:p>
        </w:tc>
        <w:tc>
          <w:tcPr>
            <w:tcW w:type="dxa" w:w="1871"/>
            <w:shd w:val="clear" w:color="auto" w:fill="F2F7FB"/>
          </w:tcPr>
          <w:p>
            <w:r>
              <w:rPr>
                <w:sz w:val="16"/>
              </w:rPr>
              <w:t>Informasi yang disetujui untuk publik</w:t>
            </w:r>
          </w:p>
        </w:tc>
        <w:tc>
          <w:tcPr>
            <w:tcW w:type="dxa" w:w="1871"/>
            <w:shd w:val="clear" w:color="auto" w:fill="F2F7FB"/>
          </w:tcPr>
          <w:p>
            <w:r>
              <w:rPr>
                <w:sz w:val="16"/>
              </w:rPr>
              <w:t>Brosur produk, laporan tahunan, website konten, press release</w:t>
            </w:r>
          </w:p>
        </w:tc>
        <w:tc>
          <w:tcPr>
            <w:tcW w:type="dxa" w:w="1871"/>
            <w:shd w:val="clear" w:color="auto" w:fill="F2F7FB"/>
          </w:tcPr>
          <w:p>
            <w:r>
              <w:rPr>
                <w:sz w:val="16"/>
              </w:rPr>
              <w:t>Tidak ada restriksi khusus, distribusi melalui kanal resmi</w:t>
            </w:r>
          </w:p>
        </w:tc>
        <w:tc>
          <w:tcPr>
            <w:tcW w:type="dxa" w:w="1871"/>
            <w:shd w:val="clear" w:color="auto" w:fill="F2F7FB"/>
          </w:tcPr>
          <w:p>
            <w:r>
              <w:rPr>
                <w:sz w:val="16"/>
              </w:rPr>
              <w:t>Sesuai kebutuhan</w:t>
            </w:r>
          </w:p>
        </w:tc>
      </w:tr>
    </w:tbl>
    <w:p/>
    <w:p>
      <w:pPr>
        <w:spacing w:before="200" w:after="120"/>
      </w:pPr>
      <w:r>
        <w:rPr>
          <w:b/>
          <w:color w:val="2E74B5"/>
          <w:sz w:val="24"/>
        </w:rPr>
        <w:t>4. Standar Perlindungan Data</w:t>
      </w:r>
    </w:p>
    <w:p>
      <w:pPr>
        <w:spacing w:before="140" w:after="120"/>
      </w:pPr>
      <w:r>
        <w:rPr>
          <w:b/>
          <w:color w:val="404040"/>
          <w:sz w:val="22"/>
        </w:rPr>
        <w:t>4.1 Enkripsi</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Skenario</w:t>
            </w:r>
          </w:p>
        </w:tc>
        <w:tc>
          <w:tcPr>
            <w:tcW w:type="dxa" w:w="2339"/>
            <w:shd w:val="clear" w:color="auto" w:fill="1F497D"/>
          </w:tcPr>
          <w:p>
            <w:r>
              <w:rPr>
                <w:b/>
                <w:color w:val="FFFFFF"/>
                <w:sz w:val="18"/>
              </w:rPr>
              <w:t>Standar Minimum</w:t>
            </w:r>
          </w:p>
        </w:tc>
        <w:tc>
          <w:tcPr>
            <w:tcW w:type="dxa" w:w="2339"/>
            <w:shd w:val="clear" w:color="auto" w:fill="1F497D"/>
          </w:tcPr>
          <w:p>
            <w:r>
              <w:rPr>
                <w:b/>
                <w:color w:val="FFFFFF"/>
                <w:sz w:val="18"/>
              </w:rPr>
              <w:t>Penerapan</w:t>
            </w:r>
          </w:p>
        </w:tc>
        <w:tc>
          <w:tcPr>
            <w:tcW w:type="dxa" w:w="2339"/>
            <w:shd w:val="clear" w:color="auto" w:fill="1F497D"/>
          </w:tcPr>
          <w:p>
            <w:r>
              <w:rPr>
                <w:b/>
                <w:color w:val="FFFFFF"/>
                <w:sz w:val="18"/>
              </w:rPr>
              <w:t>Catatan</w:t>
            </w:r>
          </w:p>
        </w:tc>
      </w:tr>
      <w:tr>
        <w:tc>
          <w:tcPr>
            <w:tcW w:type="dxa" w:w="2339"/>
            <w:shd w:val="clear" w:color="auto" w:fill="DEEAF1"/>
          </w:tcPr>
          <w:p>
            <w:r>
              <w:rPr>
                <w:sz w:val="18"/>
              </w:rPr>
              <w:t>Data at Rest (tersimpan)</w:t>
            </w:r>
          </w:p>
        </w:tc>
        <w:tc>
          <w:tcPr>
            <w:tcW w:type="dxa" w:w="2339"/>
            <w:shd w:val="clear" w:color="auto" w:fill="DEEAF1"/>
          </w:tcPr>
          <w:p>
            <w:r>
              <w:rPr>
                <w:sz w:val="18"/>
              </w:rPr>
              <w:t>AES-256-GCM</w:t>
            </w:r>
          </w:p>
        </w:tc>
        <w:tc>
          <w:tcPr>
            <w:tcW w:type="dxa" w:w="2339"/>
            <w:shd w:val="clear" w:color="auto" w:fill="DEEAF1"/>
          </w:tcPr>
          <w:p>
            <w:r>
              <w:rPr>
                <w:sz w:val="18"/>
              </w:rPr>
              <w:t>Database nasabah, storage server, backup</w:t>
            </w:r>
          </w:p>
        </w:tc>
        <w:tc>
          <w:tcPr>
            <w:tcW w:type="dxa" w:w="2339"/>
            <w:shd w:val="clear" w:color="auto" w:fill="DEEAF1"/>
          </w:tcPr>
          <w:p>
            <w:r>
              <w:rPr>
                <w:sz w:val="18"/>
              </w:rPr>
              <w:t>Wajib untuk semua data Rahasia &amp; Sangat Rahasia</w:t>
            </w:r>
          </w:p>
        </w:tc>
      </w:tr>
      <w:tr>
        <w:tc>
          <w:tcPr>
            <w:tcW w:type="dxa" w:w="2339"/>
            <w:shd w:val="clear" w:color="auto" w:fill="F2F7FB"/>
          </w:tcPr>
          <w:p>
            <w:r>
              <w:rPr>
                <w:sz w:val="18"/>
              </w:rPr>
              <w:t>Data in Transit (dikirim)</w:t>
            </w:r>
          </w:p>
        </w:tc>
        <w:tc>
          <w:tcPr>
            <w:tcW w:type="dxa" w:w="2339"/>
            <w:shd w:val="clear" w:color="auto" w:fill="F2F7FB"/>
          </w:tcPr>
          <w:p>
            <w:r>
              <w:rPr>
                <w:sz w:val="18"/>
              </w:rPr>
              <w:t>TLS 1.2 atau TLS 1.3</w:t>
            </w:r>
          </w:p>
        </w:tc>
        <w:tc>
          <w:tcPr>
            <w:tcW w:type="dxa" w:w="2339"/>
            <w:shd w:val="clear" w:color="auto" w:fill="F2F7FB"/>
          </w:tcPr>
          <w:p>
            <w:r>
              <w:rPr>
                <w:sz w:val="18"/>
              </w:rPr>
              <w:t>API, web, email, transfer file</w:t>
            </w:r>
          </w:p>
        </w:tc>
        <w:tc>
          <w:tcPr>
            <w:tcW w:type="dxa" w:w="2339"/>
            <w:shd w:val="clear" w:color="auto" w:fill="F2F7FB"/>
          </w:tcPr>
          <w:p>
            <w:r>
              <w:rPr>
                <w:sz w:val="18"/>
              </w:rPr>
              <w:t>Wajib untuk semua transmisi data sensitif; TLS 1.0/1.1 dilarang</w:t>
            </w:r>
          </w:p>
        </w:tc>
      </w:tr>
      <w:tr>
        <w:tc>
          <w:tcPr>
            <w:tcW w:type="dxa" w:w="2339"/>
            <w:shd w:val="clear" w:color="auto" w:fill="DEEAF1"/>
          </w:tcPr>
          <w:p>
            <w:r>
              <w:rPr>
                <w:sz w:val="18"/>
              </w:rPr>
              <w:t>Data in Use (diproses)</w:t>
            </w:r>
          </w:p>
        </w:tc>
        <w:tc>
          <w:tcPr>
            <w:tcW w:type="dxa" w:w="2339"/>
            <w:shd w:val="clear" w:color="auto" w:fill="DEEAF1"/>
          </w:tcPr>
          <w:p>
            <w:r>
              <w:rPr>
                <w:sz w:val="18"/>
              </w:rPr>
              <w:t>Application-level encryption</w:t>
            </w:r>
          </w:p>
        </w:tc>
        <w:tc>
          <w:tcPr>
            <w:tcW w:type="dxa" w:w="2339"/>
            <w:shd w:val="clear" w:color="auto" w:fill="DEEAF1"/>
          </w:tcPr>
          <w:p>
            <w:r>
              <w:rPr>
                <w:sz w:val="18"/>
              </w:rPr>
              <w:t>In-memory processing data sangat rahasia</w:t>
            </w:r>
          </w:p>
        </w:tc>
        <w:tc>
          <w:tcPr>
            <w:tcW w:type="dxa" w:w="2339"/>
            <w:shd w:val="clear" w:color="auto" w:fill="DEEAF1"/>
          </w:tcPr>
          <w:p>
            <w:r>
              <w:rPr>
                <w:sz w:val="18"/>
              </w:rPr>
              <w:t>Diperlukan untuk sistem yang memproses data klaim dan data kesehatan</w:t>
            </w:r>
          </w:p>
        </w:tc>
      </w:tr>
      <w:tr>
        <w:tc>
          <w:tcPr>
            <w:tcW w:type="dxa" w:w="2339"/>
            <w:shd w:val="clear" w:color="auto" w:fill="F2F7FB"/>
          </w:tcPr>
          <w:p>
            <w:r>
              <w:rPr>
                <w:sz w:val="18"/>
              </w:rPr>
              <w:t>Backup Data</w:t>
            </w:r>
          </w:p>
        </w:tc>
        <w:tc>
          <w:tcPr>
            <w:tcW w:type="dxa" w:w="2339"/>
            <w:shd w:val="clear" w:color="auto" w:fill="F2F7FB"/>
          </w:tcPr>
          <w:p>
            <w:r>
              <w:rPr>
                <w:sz w:val="18"/>
              </w:rPr>
              <w:t>AES-256 + kunci terpisah</w:t>
            </w:r>
          </w:p>
        </w:tc>
        <w:tc>
          <w:tcPr>
            <w:tcW w:type="dxa" w:w="2339"/>
            <w:shd w:val="clear" w:color="auto" w:fill="F2F7FB"/>
          </w:tcPr>
          <w:p>
            <w:r>
              <w:rPr>
                <w:sz w:val="18"/>
              </w:rPr>
              <w:t>Backup harian/mingguan/bulanan</w:t>
            </w:r>
          </w:p>
        </w:tc>
        <w:tc>
          <w:tcPr>
            <w:tcW w:type="dxa" w:w="2339"/>
            <w:shd w:val="clear" w:color="auto" w:fill="F2F7FB"/>
          </w:tcPr>
          <w:p>
            <w:r>
              <w:rPr>
                <w:sz w:val="18"/>
              </w:rPr>
              <w:t>Kunci enkripsi backup disimpan terpisah dari backup data</w:t>
            </w:r>
          </w:p>
        </w:tc>
      </w:tr>
      <w:tr>
        <w:tc>
          <w:tcPr>
            <w:tcW w:type="dxa" w:w="2339"/>
            <w:shd w:val="clear" w:color="auto" w:fill="DEEAF1"/>
          </w:tcPr>
          <w:p>
            <w:r>
              <w:rPr>
                <w:sz w:val="18"/>
              </w:rPr>
              <w:t>Kunci Enkripsi</w:t>
            </w:r>
          </w:p>
        </w:tc>
        <w:tc>
          <w:tcPr>
            <w:tcW w:type="dxa" w:w="2339"/>
            <w:shd w:val="clear" w:color="auto" w:fill="DEEAF1"/>
          </w:tcPr>
          <w:p>
            <w:r>
              <w:rPr>
                <w:sz w:val="18"/>
              </w:rPr>
              <w:t>HSM (Hardware Security Module)</w:t>
            </w:r>
          </w:p>
        </w:tc>
        <w:tc>
          <w:tcPr>
            <w:tcW w:type="dxa" w:w="2339"/>
            <w:shd w:val="clear" w:color="auto" w:fill="DEEAF1"/>
          </w:tcPr>
          <w:p>
            <w:r>
              <w:rPr>
                <w:sz w:val="18"/>
              </w:rPr>
              <w:t>Kunci master, kunci database, kunci backup</w:t>
            </w:r>
          </w:p>
        </w:tc>
        <w:tc>
          <w:tcPr>
            <w:tcW w:type="dxa" w:w="2339"/>
            <w:shd w:val="clear" w:color="auto" w:fill="DEEAF1"/>
          </w:tcPr>
          <w:p>
            <w:r>
              <w:rPr>
                <w:sz w:val="18"/>
              </w:rPr>
              <w:t>Kunci enkripsi wajib dikelola oleh HSM; rotasi kunci setiap 1 tahun</w:t>
            </w:r>
          </w:p>
        </w:tc>
      </w:tr>
      <w:tr>
        <w:tc>
          <w:tcPr>
            <w:tcW w:type="dxa" w:w="2339"/>
            <w:shd w:val="clear" w:color="auto" w:fill="F2F7FB"/>
          </w:tcPr>
          <w:p>
            <w:r>
              <w:rPr>
                <w:sz w:val="18"/>
              </w:rPr>
              <w:t>Email Sensitif</w:t>
            </w:r>
          </w:p>
        </w:tc>
        <w:tc>
          <w:tcPr>
            <w:tcW w:type="dxa" w:w="2339"/>
            <w:shd w:val="clear" w:color="auto" w:fill="F2F7FB"/>
          </w:tcPr>
          <w:p>
            <w:r>
              <w:rPr>
                <w:sz w:val="18"/>
              </w:rPr>
              <w:t>S/MIME atau PGP</w:t>
            </w:r>
          </w:p>
        </w:tc>
        <w:tc>
          <w:tcPr>
            <w:tcW w:type="dxa" w:w="2339"/>
            <w:shd w:val="clear" w:color="auto" w:fill="F2F7FB"/>
          </w:tcPr>
          <w:p>
            <w:r>
              <w:rPr>
                <w:sz w:val="18"/>
              </w:rPr>
              <w:t>Email berisi data polis, klaim, atau data pribadi</w:t>
            </w:r>
          </w:p>
        </w:tc>
        <w:tc>
          <w:tcPr>
            <w:tcW w:type="dxa" w:w="2339"/>
            <w:shd w:val="clear" w:color="auto" w:fill="F2F7FB"/>
          </w:tcPr>
          <w:p>
            <w:r>
              <w:rPr>
                <w:sz w:val="18"/>
              </w:rPr>
              <w:t>Wajib untuk email yang mengandung data Rahasia ke eksternal</w:t>
            </w:r>
          </w:p>
        </w:tc>
      </w:tr>
    </w:tbl>
    <w:p/>
    <w:p>
      <w:pPr>
        <w:spacing w:before="140" w:after="120"/>
      </w:pPr>
      <w:r>
        <w:rPr>
          <w:b/>
          <w:color w:val="404040"/>
          <w:sz w:val="22"/>
        </w:rPr>
        <w:t>4.2 Data Masking dan Tokenisasi</w:t>
      </w:r>
    </w:p>
    <w:p>
      <w:pPr>
        <w:spacing w:before="40" w:after="80"/>
      </w:pPr>
      <w:r>
        <w:rPr>
          <w:sz w:val="22"/>
        </w:rPr>
        <w:t>Data masking dan tokenisasi wajib diterapkan untuk melindungi data sensitif di lingkungan non-produksi dan saat diperlukan oleh pihak yang tidak perlu melihat data asli:</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Tipe Data</w:t>
            </w:r>
          </w:p>
        </w:tc>
        <w:tc>
          <w:tcPr>
            <w:tcW w:type="dxa" w:w="3118"/>
            <w:shd w:val="clear" w:color="auto" w:fill="1F497D"/>
          </w:tcPr>
          <w:p>
            <w:r>
              <w:rPr>
                <w:b/>
                <w:color w:val="FFFFFF"/>
                <w:sz w:val="18"/>
              </w:rPr>
              <w:t>Teknik Masking/Tokenisasi</w:t>
            </w:r>
          </w:p>
        </w:tc>
        <w:tc>
          <w:tcPr>
            <w:tcW w:type="dxa" w:w="3118"/>
            <w:shd w:val="clear" w:color="auto" w:fill="1F497D"/>
          </w:tcPr>
          <w:p>
            <w:r>
              <w:rPr>
                <w:b/>
                <w:color w:val="FFFFFF"/>
                <w:sz w:val="18"/>
              </w:rPr>
              <w:t>Penerapan</w:t>
            </w:r>
          </w:p>
        </w:tc>
      </w:tr>
      <w:tr>
        <w:tc>
          <w:tcPr>
            <w:tcW w:type="dxa" w:w="3118"/>
            <w:shd w:val="clear" w:color="auto" w:fill="DEEAF1"/>
          </w:tcPr>
          <w:p>
            <w:r>
              <w:rPr>
                <w:sz w:val="18"/>
              </w:rPr>
              <w:t>Nomor polis</w:t>
            </w:r>
          </w:p>
        </w:tc>
        <w:tc>
          <w:tcPr>
            <w:tcW w:type="dxa" w:w="3118"/>
            <w:shd w:val="clear" w:color="auto" w:fill="DEEAF1"/>
          </w:tcPr>
          <w:p>
            <w:r>
              <w:rPr>
                <w:sz w:val="18"/>
              </w:rPr>
              <w:t>Partial masking: POL-***-1234</w:t>
            </w:r>
          </w:p>
        </w:tc>
        <w:tc>
          <w:tcPr>
            <w:tcW w:type="dxa" w:w="3118"/>
            <w:shd w:val="clear" w:color="auto" w:fill="DEEAF1"/>
          </w:tcPr>
          <w:p>
            <w:r>
              <w:rPr>
                <w:sz w:val="18"/>
              </w:rPr>
              <w:t>Tampilan di UI, laporan non-keuangan</w:t>
            </w:r>
          </w:p>
        </w:tc>
      </w:tr>
      <w:tr>
        <w:tc>
          <w:tcPr>
            <w:tcW w:type="dxa" w:w="3118"/>
            <w:shd w:val="clear" w:color="auto" w:fill="F2F7FB"/>
          </w:tcPr>
          <w:p>
            <w:r>
              <w:rPr>
                <w:sz w:val="18"/>
              </w:rPr>
              <w:t>NIK / No. KTP</w:t>
            </w:r>
          </w:p>
        </w:tc>
        <w:tc>
          <w:tcPr>
            <w:tcW w:type="dxa" w:w="3118"/>
            <w:shd w:val="clear" w:color="auto" w:fill="F2F7FB"/>
          </w:tcPr>
          <w:p>
            <w:r>
              <w:rPr>
                <w:sz w:val="18"/>
              </w:rPr>
              <w:t>Masking penuh kecuali 4 digit terakhir: ****-****-1234</w:t>
            </w:r>
          </w:p>
        </w:tc>
        <w:tc>
          <w:tcPr>
            <w:tcW w:type="dxa" w:w="3118"/>
            <w:shd w:val="clear" w:color="auto" w:fill="F2F7FB"/>
          </w:tcPr>
          <w:p>
            <w:r>
              <w:rPr>
                <w:sz w:val="18"/>
              </w:rPr>
              <w:t>Log, laporan, UI standar</w:t>
            </w:r>
          </w:p>
        </w:tc>
      </w:tr>
      <w:tr>
        <w:tc>
          <w:tcPr>
            <w:tcW w:type="dxa" w:w="3118"/>
            <w:shd w:val="clear" w:color="auto" w:fill="DEEAF1"/>
          </w:tcPr>
          <w:p>
            <w:r>
              <w:rPr>
                <w:sz w:val="18"/>
              </w:rPr>
              <w:t>Tanggal lahir</w:t>
            </w:r>
          </w:p>
        </w:tc>
        <w:tc>
          <w:tcPr>
            <w:tcW w:type="dxa" w:w="3118"/>
            <w:shd w:val="clear" w:color="auto" w:fill="DEEAF1"/>
          </w:tcPr>
          <w:p>
            <w:r>
              <w:rPr>
                <w:sz w:val="18"/>
              </w:rPr>
              <w:t>Format umur saja: '35 tahun' (bukan tanggal lengkap)</w:t>
            </w:r>
          </w:p>
        </w:tc>
        <w:tc>
          <w:tcPr>
            <w:tcW w:type="dxa" w:w="3118"/>
            <w:shd w:val="clear" w:color="auto" w:fill="DEEAF1"/>
          </w:tcPr>
          <w:p>
            <w:r>
              <w:rPr>
                <w:sz w:val="18"/>
              </w:rPr>
              <w:t>Analitik, laporan agregat</w:t>
            </w:r>
          </w:p>
        </w:tc>
      </w:tr>
      <w:tr>
        <w:tc>
          <w:tcPr>
            <w:tcW w:type="dxa" w:w="3118"/>
            <w:shd w:val="clear" w:color="auto" w:fill="F2F7FB"/>
          </w:tcPr>
          <w:p>
            <w:r>
              <w:rPr>
                <w:sz w:val="18"/>
              </w:rPr>
              <w:t>Nomor rekening</w:t>
            </w:r>
          </w:p>
        </w:tc>
        <w:tc>
          <w:tcPr>
            <w:tcW w:type="dxa" w:w="3118"/>
            <w:shd w:val="clear" w:color="auto" w:fill="F2F7FB"/>
          </w:tcPr>
          <w:p>
            <w:r>
              <w:rPr>
                <w:sz w:val="18"/>
              </w:rPr>
              <w:t>Tokenisasi (token tidak dapat di-reverse tanpa kunci)</w:t>
            </w:r>
          </w:p>
        </w:tc>
        <w:tc>
          <w:tcPr>
            <w:tcW w:type="dxa" w:w="3118"/>
            <w:shd w:val="clear" w:color="auto" w:fill="F2F7FB"/>
          </w:tcPr>
          <w:p>
            <w:r>
              <w:rPr>
                <w:sz w:val="18"/>
              </w:rPr>
              <w:t>Sistem pembayaran klaim</w:t>
            </w:r>
          </w:p>
        </w:tc>
      </w:tr>
      <w:tr>
        <w:tc>
          <w:tcPr>
            <w:tcW w:type="dxa" w:w="3118"/>
            <w:shd w:val="clear" w:color="auto" w:fill="DEEAF1"/>
          </w:tcPr>
          <w:p>
            <w:r>
              <w:rPr>
                <w:sz w:val="18"/>
              </w:rPr>
              <w:t>Premi dan manfaat</w:t>
            </w:r>
          </w:p>
        </w:tc>
        <w:tc>
          <w:tcPr>
            <w:tcW w:type="dxa" w:w="3118"/>
            <w:shd w:val="clear" w:color="auto" w:fill="DEEAF1"/>
          </w:tcPr>
          <w:p>
            <w:r>
              <w:rPr>
                <w:sz w:val="18"/>
              </w:rPr>
              <w:t>Masking di log; tampil utuh hanya untuk petugas terotorisasi</w:t>
            </w:r>
          </w:p>
        </w:tc>
        <w:tc>
          <w:tcPr>
            <w:tcW w:type="dxa" w:w="3118"/>
            <w:shd w:val="clear" w:color="auto" w:fill="DEEAF1"/>
          </w:tcPr>
          <w:p>
            <w:r>
              <w:rPr>
                <w:sz w:val="18"/>
              </w:rPr>
              <w:t>Log sistem, debug output</w:t>
            </w:r>
          </w:p>
        </w:tc>
      </w:tr>
      <w:tr>
        <w:tc>
          <w:tcPr>
            <w:tcW w:type="dxa" w:w="3118"/>
            <w:shd w:val="clear" w:color="auto" w:fill="F2F7FB"/>
          </w:tcPr>
          <w:p>
            <w:r>
              <w:rPr>
                <w:sz w:val="18"/>
              </w:rPr>
              <w:t>Data kesehatan</w:t>
            </w:r>
          </w:p>
        </w:tc>
        <w:tc>
          <w:tcPr>
            <w:tcW w:type="dxa" w:w="3118"/>
            <w:shd w:val="clear" w:color="auto" w:fill="F2F7FB"/>
          </w:tcPr>
          <w:p>
            <w:r>
              <w:rPr>
                <w:sz w:val="18"/>
              </w:rPr>
              <w:t>Pseudonymisasi: dihubungkan ke ID internal, bukan nama nasabah</w:t>
            </w:r>
          </w:p>
        </w:tc>
        <w:tc>
          <w:tcPr>
            <w:tcW w:type="dxa" w:w="3118"/>
            <w:shd w:val="clear" w:color="auto" w:fill="F2F7FB"/>
          </w:tcPr>
          <w:p>
            <w:r>
              <w:rPr>
                <w:sz w:val="18"/>
              </w:rPr>
              <w:t>Sistem aktuaria, analitik</w:t>
            </w:r>
          </w:p>
        </w:tc>
      </w:tr>
      <w:tr>
        <w:tc>
          <w:tcPr>
            <w:tcW w:type="dxa" w:w="3118"/>
            <w:shd w:val="clear" w:color="auto" w:fill="DEEAF1"/>
          </w:tcPr>
          <w:p>
            <w:r>
              <w:rPr>
                <w:sz w:val="18"/>
              </w:rPr>
              <w:t>Password / PIN</w:t>
            </w:r>
          </w:p>
        </w:tc>
        <w:tc>
          <w:tcPr>
            <w:tcW w:type="dxa" w:w="3118"/>
            <w:shd w:val="clear" w:color="auto" w:fill="DEEAF1"/>
          </w:tcPr>
          <w:p>
            <w:r>
              <w:rPr>
                <w:sz w:val="18"/>
              </w:rPr>
              <w:t>Hashing bcrypt/Argon2 dengan salt unik; tidak pernah disimpan plain-text</w:t>
            </w:r>
          </w:p>
        </w:tc>
        <w:tc>
          <w:tcPr>
            <w:tcW w:type="dxa" w:w="3118"/>
            <w:shd w:val="clear" w:color="auto" w:fill="DEEAF1"/>
          </w:tcPr>
          <w:p>
            <w:r>
              <w:rPr>
                <w:sz w:val="18"/>
              </w:rPr>
              <w:t>Database user credentials</w:t>
            </w:r>
          </w:p>
        </w:tc>
      </w:tr>
    </w:tbl>
    <w:p/>
    <w:p>
      <w:pPr>
        <w:spacing w:before="140" w:after="120"/>
      </w:pPr>
      <w:r>
        <w:rPr>
          <w:b/>
          <w:color w:val="404040"/>
          <w:sz w:val="22"/>
        </w:rPr>
        <w:t>4.3 Manajemen Akses Data</w:t>
      </w:r>
    </w:p>
    <w:p>
      <w:pPr>
        <w:spacing w:before="40" w:after="80"/>
      </w:pPr>
      <w:r>
        <w:rPr>
          <w:sz w:val="22"/>
        </w:rPr>
        <w:t>Akses ke data diberikan berdasarkan prinsip least privilege dan need-to-know:</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Jenis Data</w:t>
            </w:r>
          </w:p>
        </w:tc>
        <w:tc>
          <w:tcPr>
            <w:tcW w:type="dxa" w:w="3118"/>
            <w:shd w:val="clear" w:color="auto" w:fill="1F497D"/>
          </w:tcPr>
          <w:p>
            <w:r>
              <w:rPr>
                <w:b/>
                <w:color w:val="FFFFFF"/>
                <w:sz w:val="18"/>
              </w:rPr>
              <w:t>Pihak yang Berwenang</w:t>
            </w:r>
          </w:p>
        </w:tc>
        <w:tc>
          <w:tcPr>
            <w:tcW w:type="dxa" w:w="3118"/>
            <w:shd w:val="clear" w:color="auto" w:fill="1F497D"/>
          </w:tcPr>
          <w:p>
            <w:r>
              <w:rPr>
                <w:b/>
                <w:color w:val="FFFFFF"/>
                <w:sz w:val="18"/>
              </w:rPr>
              <w:t>Kontrol Akses</w:t>
            </w:r>
          </w:p>
        </w:tc>
      </w:tr>
      <w:tr>
        <w:tc>
          <w:tcPr>
            <w:tcW w:type="dxa" w:w="3118"/>
            <w:shd w:val="clear" w:color="auto" w:fill="DEEAF1"/>
          </w:tcPr>
          <w:p>
            <w:r>
              <w:rPr>
                <w:sz w:val="18"/>
              </w:rPr>
              <w:t>Data nasabah (profil &amp; polis)</w:t>
            </w:r>
          </w:p>
        </w:tc>
        <w:tc>
          <w:tcPr>
            <w:tcW w:type="dxa" w:w="3118"/>
            <w:shd w:val="clear" w:color="auto" w:fill="DEEAF1"/>
          </w:tcPr>
          <w:p>
            <w:r>
              <w:rPr>
                <w:sz w:val="18"/>
              </w:rPr>
              <w:t>Petugas layanan nasabah; agen asuransi; underwriter</w:t>
            </w:r>
          </w:p>
        </w:tc>
        <w:tc>
          <w:tcPr>
            <w:tcW w:type="dxa" w:w="3118"/>
            <w:shd w:val="clear" w:color="auto" w:fill="DEEAF1"/>
          </w:tcPr>
          <w:p>
            <w:r>
              <w:rPr>
                <w:sz w:val="18"/>
              </w:rPr>
              <w:t>RBAC berbasis jabatan; audit log; re-authentication setiap 2 jam</w:t>
            </w:r>
          </w:p>
        </w:tc>
      </w:tr>
      <w:tr>
        <w:tc>
          <w:tcPr>
            <w:tcW w:type="dxa" w:w="3118"/>
            <w:shd w:val="clear" w:color="auto" w:fill="F2F7FB"/>
          </w:tcPr>
          <w:p>
            <w:r>
              <w:rPr>
                <w:sz w:val="18"/>
              </w:rPr>
              <w:t>Data klaim &amp; kesehatan</w:t>
            </w:r>
          </w:p>
        </w:tc>
        <w:tc>
          <w:tcPr>
            <w:tcW w:type="dxa" w:w="3118"/>
            <w:shd w:val="clear" w:color="auto" w:fill="F2F7FB"/>
          </w:tcPr>
          <w:p>
            <w:r>
              <w:rPr>
                <w:sz w:val="18"/>
              </w:rPr>
              <w:t>Klaim adjuster; dokter panel; manajer klaim</w:t>
            </w:r>
          </w:p>
        </w:tc>
        <w:tc>
          <w:tcPr>
            <w:tcW w:type="dxa" w:w="3118"/>
            <w:shd w:val="clear" w:color="auto" w:fill="F2F7FB"/>
          </w:tcPr>
          <w:p>
            <w:r>
              <w:rPr>
                <w:sz w:val="18"/>
              </w:rPr>
              <w:t>Akses per-kasus; time-limited access; 4-eyes review untuk klaim besar</w:t>
            </w:r>
          </w:p>
        </w:tc>
      </w:tr>
      <w:tr>
        <w:tc>
          <w:tcPr>
            <w:tcW w:type="dxa" w:w="3118"/>
            <w:shd w:val="clear" w:color="auto" w:fill="DEEAF1"/>
          </w:tcPr>
          <w:p>
            <w:r>
              <w:rPr>
                <w:sz w:val="18"/>
              </w:rPr>
              <w:t>Data aktuaria &amp; pricing</w:t>
            </w:r>
          </w:p>
        </w:tc>
        <w:tc>
          <w:tcPr>
            <w:tcW w:type="dxa" w:w="3118"/>
            <w:shd w:val="clear" w:color="auto" w:fill="DEEAF1"/>
          </w:tcPr>
          <w:p>
            <w:r>
              <w:rPr>
                <w:sz w:val="18"/>
              </w:rPr>
              <w:t>Aktuaris; manajer produk</w:t>
            </w:r>
          </w:p>
        </w:tc>
        <w:tc>
          <w:tcPr>
            <w:tcW w:type="dxa" w:w="3118"/>
            <w:shd w:val="clear" w:color="auto" w:fill="DEEAF1"/>
          </w:tcPr>
          <w:p>
            <w:r>
              <w:rPr>
                <w:sz w:val="18"/>
              </w:rPr>
              <w:t>Akses read-only untuk sebagian besar; write hanya aktuaris senior</w:t>
            </w:r>
          </w:p>
        </w:tc>
      </w:tr>
      <w:tr>
        <w:tc>
          <w:tcPr>
            <w:tcW w:type="dxa" w:w="3118"/>
            <w:shd w:val="clear" w:color="auto" w:fill="F2F7FB"/>
          </w:tcPr>
          <w:p>
            <w:r>
              <w:rPr>
                <w:sz w:val="18"/>
              </w:rPr>
              <w:t>Data keuangan &amp; investasi</w:t>
            </w:r>
          </w:p>
        </w:tc>
        <w:tc>
          <w:tcPr>
            <w:tcW w:type="dxa" w:w="3118"/>
            <w:shd w:val="clear" w:color="auto" w:fill="F2F7FB"/>
          </w:tcPr>
          <w:p>
            <w:r>
              <w:rPr>
                <w:sz w:val="18"/>
              </w:rPr>
              <w:t>CFO; tim keuangan; auditor internal</w:t>
            </w:r>
          </w:p>
        </w:tc>
        <w:tc>
          <w:tcPr>
            <w:tcW w:type="dxa" w:w="3118"/>
            <w:shd w:val="clear" w:color="auto" w:fill="F2F7FB"/>
          </w:tcPr>
          <w:p>
            <w:r>
              <w:rPr>
                <w:sz w:val="18"/>
              </w:rPr>
              <w:t>Segregasi tugas; dual approval untuk transaksi &gt; threshold</w:t>
            </w:r>
          </w:p>
        </w:tc>
      </w:tr>
      <w:tr>
        <w:tc>
          <w:tcPr>
            <w:tcW w:type="dxa" w:w="3118"/>
            <w:shd w:val="clear" w:color="auto" w:fill="DEEAF1"/>
          </w:tcPr>
          <w:p>
            <w:r>
              <w:rPr>
                <w:sz w:val="18"/>
              </w:rPr>
              <w:t>Data karyawan (HRD)</w:t>
            </w:r>
          </w:p>
        </w:tc>
        <w:tc>
          <w:tcPr>
            <w:tcW w:type="dxa" w:w="3118"/>
            <w:shd w:val="clear" w:color="auto" w:fill="DEEAF1"/>
          </w:tcPr>
          <w:p>
            <w:r>
              <w:rPr>
                <w:sz w:val="18"/>
              </w:rPr>
              <w:t>HR; manager langsung (data terbatas); Payroll</w:t>
            </w:r>
          </w:p>
        </w:tc>
        <w:tc>
          <w:tcPr>
            <w:tcW w:type="dxa" w:w="3118"/>
            <w:shd w:val="clear" w:color="auto" w:fill="DEEAF1"/>
          </w:tcPr>
          <w:p>
            <w:r>
              <w:rPr>
                <w:sz w:val="18"/>
              </w:rPr>
              <w:t>Tidak boleh diakses IT tanpa izin khusus; encrypted HR database</w:t>
            </w:r>
          </w:p>
        </w:tc>
      </w:tr>
      <w:tr>
        <w:tc>
          <w:tcPr>
            <w:tcW w:type="dxa" w:w="3118"/>
            <w:shd w:val="clear" w:color="auto" w:fill="F2F7FB"/>
          </w:tcPr>
          <w:p>
            <w:r>
              <w:rPr>
                <w:sz w:val="18"/>
              </w:rPr>
              <w:t>Database produksi</w:t>
            </w:r>
          </w:p>
        </w:tc>
        <w:tc>
          <w:tcPr>
            <w:tcW w:type="dxa" w:w="3118"/>
            <w:shd w:val="clear" w:color="auto" w:fill="F2F7FB"/>
          </w:tcPr>
          <w:p>
            <w:r>
              <w:rPr>
                <w:sz w:val="18"/>
              </w:rPr>
              <w:t>DBA (Privileged); tidak ada akses langsung oleh developer ke prod</w:t>
            </w:r>
          </w:p>
        </w:tc>
        <w:tc>
          <w:tcPr>
            <w:tcW w:type="dxa" w:w="3118"/>
            <w:shd w:val="clear" w:color="auto" w:fill="F2F7FB"/>
          </w:tcPr>
          <w:p>
            <w:r>
              <w:rPr>
                <w:sz w:val="18"/>
              </w:rPr>
              <w:t>PAM wajib; session recording; no bulk data export tanpa izin</w:t>
            </w:r>
          </w:p>
        </w:tc>
      </w:tr>
    </w:tbl>
    <w:p/>
    <w:p>
      <w:pPr>
        <w:spacing w:before="140" w:after="120"/>
      </w:pPr>
      <w:r>
        <w:rPr>
          <w:b/>
          <w:color w:val="404040"/>
          <w:sz w:val="22"/>
        </w:rPr>
        <w:t>4.4 Data Retention dan Penghapusan</w:t>
      </w:r>
    </w:p>
    <w:p>
      <w:pPr>
        <w:spacing w:before="40" w:after="80"/>
      </w:pPr>
      <w:r>
        <w:rPr>
          <w:sz w:val="22"/>
        </w:rPr>
        <w:t>Jadwal retensi data PT Equity Life Indonesia ditetapkan sebagai berikut:</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Jenis Data</w:t>
            </w:r>
          </w:p>
        </w:tc>
        <w:tc>
          <w:tcPr>
            <w:tcW w:type="dxa" w:w="3118"/>
            <w:shd w:val="clear" w:color="auto" w:fill="1F497D"/>
          </w:tcPr>
          <w:p>
            <w:r>
              <w:rPr>
                <w:b/>
                <w:color w:val="FFFFFF"/>
                <w:sz w:val="18"/>
              </w:rPr>
              <w:t>Periode Retensi</w:t>
            </w:r>
          </w:p>
        </w:tc>
        <w:tc>
          <w:tcPr>
            <w:tcW w:type="dxa" w:w="3118"/>
            <w:shd w:val="clear" w:color="auto" w:fill="1F497D"/>
          </w:tcPr>
          <w:p>
            <w:r>
              <w:rPr>
                <w:b/>
                <w:color w:val="FFFFFF"/>
                <w:sz w:val="18"/>
              </w:rPr>
              <w:t>Sistem Penyimpanan</w:t>
            </w:r>
          </w:p>
        </w:tc>
      </w:tr>
      <w:tr>
        <w:tc>
          <w:tcPr>
            <w:tcW w:type="dxa" w:w="3118"/>
            <w:shd w:val="clear" w:color="auto" w:fill="DEEAF1"/>
          </w:tcPr>
          <w:p>
            <w:r>
              <w:rPr>
                <w:sz w:val="18"/>
              </w:rPr>
              <w:t>Data polis aktif</w:t>
            </w:r>
          </w:p>
        </w:tc>
        <w:tc>
          <w:tcPr>
            <w:tcW w:type="dxa" w:w="3118"/>
            <w:shd w:val="clear" w:color="auto" w:fill="DEEAF1"/>
          </w:tcPr>
          <w:p>
            <w:r>
              <w:rPr>
                <w:sz w:val="18"/>
              </w:rPr>
              <w:t>Selama masa polis aktif + 10 tahun setelah berakhir</w:t>
            </w:r>
          </w:p>
        </w:tc>
        <w:tc>
          <w:tcPr>
            <w:tcW w:type="dxa" w:w="3118"/>
            <w:shd w:val="clear" w:color="auto" w:fill="DEEAF1"/>
          </w:tcPr>
          <w:p>
            <w:r>
              <w:rPr>
                <w:sz w:val="18"/>
              </w:rPr>
              <w:t>Sistem administrasi polis</w:t>
            </w:r>
          </w:p>
        </w:tc>
      </w:tr>
      <w:tr>
        <w:tc>
          <w:tcPr>
            <w:tcW w:type="dxa" w:w="3118"/>
            <w:shd w:val="clear" w:color="auto" w:fill="F2F7FB"/>
          </w:tcPr>
          <w:p>
            <w:r>
              <w:rPr>
                <w:sz w:val="18"/>
              </w:rPr>
              <w:t>Data klaim</w:t>
            </w:r>
          </w:p>
        </w:tc>
        <w:tc>
          <w:tcPr>
            <w:tcW w:type="dxa" w:w="3118"/>
            <w:shd w:val="clear" w:color="auto" w:fill="F2F7FB"/>
          </w:tcPr>
          <w:p>
            <w:r>
              <w:rPr>
                <w:sz w:val="18"/>
              </w:rPr>
              <w:t>10 tahun setelah penyelesaian klaim (persyaratan OJK)</w:t>
            </w:r>
          </w:p>
        </w:tc>
        <w:tc>
          <w:tcPr>
            <w:tcW w:type="dxa" w:w="3118"/>
            <w:shd w:val="clear" w:color="auto" w:fill="F2F7FB"/>
          </w:tcPr>
          <w:p>
            <w:r>
              <w:rPr>
                <w:sz w:val="18"/>
              </w:rPr>
              <w:t>Sistem klaim</w:t>
            </w:r>
          </w:p>
        </w:tc>
      </w:tr>
      <w:tr>
        <w:tc>
          <w:tcPr>
            <w:tcW w:type="dxa" w:w="3118"/>
            <w:shd w:val="clear" w:color="auto" w:fill="DEEAF1"/>
          </w:tcPr>
          <w:p>
            <w:r>
              <w:rPr>
                <w:sz w:val="18"/>
              </w:rPr>
              <w:t>Data nasabah (profil KYC)</w:t>
            </w:r>
          </w:p>
        </w:tc>
        <w:tc>
          <w:tcPr>
            <w:tcW w:type="dxa" w:w="3118"/>
            <w:shd w:val="clear" w:color="auto" w:fill="DEEAF1"/>
          </w:tcPr>
          <w:p>
            <w:r>
              <w:rPr>
                <w:sz w:val="18"/>
              </w:rPr>
              <w:t>10 tahun setelah hubungan bisnis berakhir (PPATK/OJK)</w:t>
            </w:r>
          </w:p>
        </w:tc>
        <w:tc>
          <w:tcPr>
            <w:tcW w:type="dxa" w:w="3118"/>
            <w:shd w:val="clear" w:color="auto" w:fill="DEEAF1"/>
          </w:tcPr>
          <w:p>
            <w:r>
              <w:rPr>
                <w:sz w:val="18"/>
              </w:rPr>
              <w:t>CRM</w:t>
            </w:r>
          </w:p>
        </w:tc>
      </w:tr>
      <w:tr>
        <w:tc>
          <w:tcPr>
            <w:tcW w:type="dxa" w:w="3118"/>
            <w:shd w:val="clear" w:color="auto" w:fill="F2F7FB"/>
          </w:tcPr>
          <w:p>
            <w:r>
              <w:rPr>
                <w:sz w:val="18"/>
              </w:rPr>
              <w:t>Data keuangan</w:t>
            </w:r>
          </w:p>
        </w:tc>
        <w:tc>
          <w:tcPr>
            <w:tcW w:type="dxa" w:w="3118"/>
            <w:shd w:val="clear" w:color="auto" w:fill="F2F7FB"/>
          </w:tcPr>
          <w:p>
            <w:r>
              <w:rPr>
                <w:sz w:val="18"/>
              </w:rPr>
              <w:t>10 tahun (ketentuan perpajakan dan OJK)</w:t>
            </w:r>
          </w:p>
        </w:tc>
        <w:tc>
          <w:tcPr>
            <w:tcW w:type="dxa" w:w="3118"/>
            <w:shd w:val="clear" w:color="auto" w:fill="F2F7FB"/>
          </w:tcPr>
          <w:p>
            <w:r>
              <w:rPr>
                <w:sz w:val="18"/>
              </w:rPr>
              <w:t>ERP / Core keuangan</w:t>
            </w:r>
          </w:p>
        </w:tc>
      </w:tr>
      <w:tr>
        <w:tc>
          <w:tcPr>
            <w:tcW w:type="dxa" w:w="3118"/>
            <w:shd w:val="clear" w:color="auto" w:fill="DEEAF1"/>
          </w:tcPr>
          <w:p>
            <w:r>
              <w:rPr>
                <w:sz w:val="18"/>
              </w:rPr>
              <w:t>Log audit sistem</w:t>
            </w:r>
          </w:p>
        </w:tc>
        <w:tc>
          <w:tcPr>
            <w:tcW w:type="dxa" w:w="3118"/>
            <w:shd w:val="clear" w:color="auto" w:fill="DEEAF1"/>
          </w:tcPr>
          <w:p>
            <w:r>
              <w:rPr>
                <w:sz w:val="18"/>
              </w:rPr>
              <w:t>Minimal 5 tahun (POJK terkait TI)</w:t>
            </w:r>
          </w:p>
        </w:tc>
        <w:tc>
          <w:tcPr>
            <w:tcW w:type="dxa" w:w="3118"/>
            <w:shd w:val="clear" w:color="auto" w:fill="DEEAF1"/>
          </w:tcPr>
          <w:p>
            <w:r>
              <w:rPr>
                <w:sz w:val="18"/>
              </w:rPr>
              <w:t>SIEM, Log management</w:t>
            </w:r>
          </w:p>
        </w:tc>
      </w:tr>
      <w:tr>
        <w:tc>
          <w:tcPr>
            <w:tcW w:type="dxa" w:w="3118"/>
            <w:shd w:val="clear" w:color="auto" w:fill="F2F7FB"/>
          </w:tcPr>
          <w:p>
            <w:r>
              <w:rPr>
                <w:sz w:val="18"/>
              </w:rPr>
              <w:t>Email bisnis</w:t>
            </w:r>
          </w:p>
        </w:tc>
        <w:tc>
          <w:tcPr>
            <w:tcW w:type="dxa" w:w="3118"/>
            <w:shd w:val="clear" w:color="auto" w:fill="F2F7FB"/>
          </w:tcPr>
          <w:p>
            <w:r>
              <w:rPr>
                <w:sz w:val="18"/>
              </w:rPr>
              <w:t>5 tahun untuk email yang berisi data bisnis penting</w:t>
            </w:r>
          </w:p>
        </w:tc>
        <w:tc>
          <w:tcPr>
            <w:tcW w:type="dxa" w:w="3118"/>
            <w:shd w:val="clear" w:color="auto" w:fill="F2F7FB"/>
          </w:tcPr>
          <w:p>
            <w:r>
              <w:rPr>
                <w:sz w:val="18"/>
              </w:rPr>
              <w:t>Email server</w:t>
            </w:r>
          </w:p>
        </w:tc>
      </w:tr>
      <w:tr>
        <w:tc>
          <w:tcPr>
            <w:tcW w:type="dxa" w:w="3118"/>
            <w:shd w:val="clear" w:color="auto" w:fill="DEEAF1"/>
          </w:tcPr>
          <w:p>
            <w:r>
              <w:rPr>
                <w:sz w:val="18"/>
              </w:rPr>
              <w:t>Data SDM / karyawan</w:t>
            </w:r>
          </w:p>
        </w:tc>
        <w:tc>
          <w:tcPr>
            <w:tcW w:type="dxa" w:w="3118"/>
            <w:shd w:val="clear" w:color="auto" w:fill="DEEAF1"/>
          </w:tcPr>
          <w:p>
            <w:r>
              <w:rPr>
                <w:sz w:val="18"/>
              </w:rPr>
              <w:t>5 tahun setelah karyawan keluar</w:t>
            </w:r>
          </w:p>
        </w:tc>
        <w:tc>
          <w:tcPr>
            <w:tcW w:type="dxa" w:w="3118"/>
            <w:shd w:val="clear" w:color="auto" w:fill="DEEAF1"/>
          </w:tcPr>
          <w:p>
            <w:r>
              <w:rPr>
                <w:sz w:val="18"/>
              </w:rPr>
              <w:t>HRIS</w:t>
            </w:r>
          </w:p>
        </w:tc>
      </w:tr>
      <w:tr>
        <w:tc>
          <w:tcPr>
            <w:tcW w:type="dxa" w:w="3118"/>
            <w:shd w:val="clear" w:color="auto" w:fill="F2F7FB"/>
          </w:tcPr>
          <w:p>
            <w:r>
              <w:rPr>
                <w:sz w:val="18"/>
              </w:rPr>
              <w:t>Backup data</w:t>
            </w:r>
          </w:p>
        </w:tc>
        <w:tc>
          <w:tcPr>
            <w:tcW w:type="dxa" w:w="3118"/>
            <w:shd w:val="clear" w:color="auto" w:fill="F2F7FB"/>
          </w:tcPr>
          <w:p>
            <w:r>
              <w:rPr>
                <w:sz w:val="18"/>
              </w:rPr>
              <w:t>Harian: 30 hari; Mingguan: 1 tahun; Bulanan: 7 tahun; Tahunan: sesuai retensi data</w:t>
            </w:r>
          </w:p>
        </w:tc>
        <w:tc>
          <w:tcPr>
            <w:tcW w:type="dxa" w:w="3118"/>
            <w:shd w:val="clear" w:color="auto" w:fill="F2F7FB"/>
          </w:tcPr>
          <w:p>
            <w:r>
              <w:rPr>
                <w:sz w:val="18"/>
              </w:rPr>
              <w:t>Backup system</w:t>
            </w:r>
          </w:p>
        </w:tc>
      </w:tr>
    </w:tbl>
    <w:p/>
    <w:p>
      <w:pPr>
        <w:spacing w:before="40" w:after="80"/>
      </w:pPr>
      <w:r>
        <w:rPr>
          <w:sz w:val="22"/>
        </w:rPr>
        <w:t>Penghapusan data yang telah melewati masa retensi dilakukan dengan metode aman: overwriting multi-pass (NIST 800-88) untuk media digital, dan shredding/incinerasi untuk media fisik. Sertifikat penghapusan harus dibuat dan disimpan.</w:t>
      </w:r>
    </w:p>
    <w:p>
      <w:pPr>
        <w:spacing w:before="200" w:after="120"/>
      </w:pPr>
      <w:r>
        <w:rPr>
          <w:b/>
          <w:color w:val="2E74B5"/>
          <w:sz w:val="24"/>
        </w:rPr>
        <w:t>5. Hak Subjek Data (Data Subject Rights) - UU PDP</w:t>
      </w:r>
    </w:p>
    <w:p>
      <w:pPr>
        <w:spacing w:before="40" w:after="80"/>
      </w:pPr>
      <w:r>
        <w:rPr>
          <w:sz w:val="22"/>
        </w:rPr>
        <w:t>Sebagai Pengendali Data Pribadi, PT Equity Life Indonesia wajib memenuhi hak-hak subjek data berikut sesuai UU PDP No. 27/2022:</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Hak Subjek Data</w:t>
            </w:r>
          </w:p>
        </w:tc>
        <w:tc>
          <w:tcPr>
            <w:tcW w:type="dxa" w:w="3118"/>
            <w:shd w:val="clear" w:color="auto" w:fill="1F497D"/>
          </w:tcPr>
          <w:p>
            <w:r>
              <w:rPr>
                <w:b/>
                <w:color w:val="FFFFFF"/>
                <w:sz w:val="18"/>
              </w:rPr>
              <w:t>Deskripsi</w:t>
            </w:r>
          </w:p>
        </w:tc>
        <w:tc>
          <w:tcPr>
            <w:tcW w:type="dxa" w:w="3118"/>
            <w:shd w:val="clear" w:color="auto" w:fill="1F497D"/>
          </w:tcPr>
          <w:p>
            <w:r>
              <w:rPr>
                <w:b/>
                <w:color w:val="FFFFFF"/>
                <w:sz w:val="18"/>
              </w:rPr>
              <w:t>Kewajiban Perusahaan</w:t>
            </w:r>
          </w:p>
        </w:tc>
      </w:tr>
      <w:tr>
        <w:tc>
          <w:tcPr>
            <w:tcW w:type="dxa" w:w="3118"/>
            <w:shd w:val="clear" w:color="auto" w:fill="DEEAF1"/>
          </w:tcPr>
          <w:p>
            <w:r>
              <w:rPr>
                <w:sz w:val="18"/>
              </w:rPr>
              <w:t>Hak Mendapatkan Informasi</w:t>
            </w:r>
          </w:p>
        </w:tc>
        <w:tc>
          <w:tcPr>
            <w:tcW w:type="dxa" w:w="3118"/>
            <w:shd w:val="clear" w:color="auto" w:fill="DEEAF1"/>
          </w:tcPr>
          <w:p>
            <w:r>
              <w:rPr>
                <w:sz w:val="18"/>
              </w:rPr>
              <w:t>Mengetahui tujuan, dasar hukum, dan cara penggunaan data</w:t>
            </w:r>
          </w:p>
        </w:tc>
        <w:tc>
          <w:tcPr>
            <w:tcW w:type="dxa" w:w="3118"/>
            <w:shd w:val="clear" w:color="auto" w:fill="DEEAF1"/>
          </w:tcPr>
          <w:p>
            <w:r>
              <w:rPr>
                <w:sz w:val="18"/>
              </w:rPr>
              <w:t>Merespons permintaan informasi dalam 14 hari kerja</w:t>
            </w:r>
          </w:p>
        </w:tc>
      </w:tr>
      <w:tr>
        <w:tc>
          <w:tcPr>
            <w:tcW w:type="dxa" w:w="3118"/>
            <w:shd w:val="clear" w:color="auto" w:fill="F2F7FB"/>
          </w:tcPr>
          <w:p>
            <w:r>
              <w:rPr>
                <w:sz w:val="18"/>
              </w:rPr>
              <w:t>Hak Akses</w:t>
            </w:r>
          </w:p>
        </w:tc>
        <w:tc>
          <w:tcPr>
            <w:tcW w:type="dxa" w:w="3118"/>
            <w:shd w:val="clear" w:color="auto" w:fill="F2F7FB"/>
          </w:tcPr>
          <w:p>
            <w:r>
              <w:rPr>
                <w:sz w:val="18"/>
              </w:rPr>
              <w:t>Mendapatkan salinan data pribadi yang disimpan Perusahaan</w:t>
            </w:r>
          </w:p>
        </w:tc>
        <w:tc>
          <w:tcPr>
            <w:tcW w:type="dxa" w:w="3118"/>
            <w:shd w:val="clear" w:color="auto" w:fill="F2F7FB"/>
          </w:tcPr>
          <w:p>
            <w:r>
              <w:rPr>
                <w:sz w:val="18"/>
              </w:rPr>
              <w:t>Prosedur data access request; verifikasi identitas; 30 hari kerja</w:t>
            </w:r>
          </w:p>
        </w:tc>
      </w:tr>
      <w:tr>
        <w:tc>
          <w:tcPr>
            <w:tcW w:type="dxa" w:w="3118"/>
            <w:shd w:val="clear" w:color="auto" w:fill="DEEAF1"/>
          </w:tcPr>
          <w:p>
            <w:r>
              <w:rPr>
                <w:sz w:val="18"/>
              </w:rPr>
              <w:t>Hak Koreksi</w:t>
            </w:r>
          </w:p>
        </w:tc>
        <w:tc>
          <w:tcPr>
            <w:tcW w:type="dxa" w:w="3118"/>
            <w:shd w:val="clear" w:color="auto" w:fill="DEEAF1"/>
          </w:tcPr>
          <w:p>
            <w:r>
              <w:rPr>
                <w:sz w:val="18"/>
              </w:rPr>
              <w:t>Meminta koreksi data yang tidak akurat atau tidak lengkap</w:t>
            </w:r>
          </w:p>
        </w:tc>
        <w:tc>
          <w:tcPr>
            <w:tcW w:type="dxa" w:w="3118"/>
            <w:shd w:val="clear" w:color="auto" w:fill="DEEAF1"/>
          </w:tcPr>
          <w:p>
            <w:r>
              <w:rPr>
                <w:sz w:val="18"/>
              </w:rPr>
              <w:t>Update dalam 14 hari kerja; konfirmasi perubahan ke subjek data</w:t>
            </w:r>
          </w:p>
        </w:tc>
      </w:tr>
      <w:tr>
        <w:tc>
          <w:tcPr>
            <w:tcW w:type="dxa" w:w="3118"/>
            <w:shd w:val="clear" w:color="auto" w:fill="F2F7FB"/>
          </w:tcPr>
          <w:p>
            <w:r>
              <w:rPr>
                <w:sz w:val="18"/>
              </w:rPr>
              <w:t>Hak Penghapusan</w:t>
            </w:r>
          </w:p>
        </w:tc>
        <w:tc>
          <w:tcPr>
            <w:tcW w:type="dxa" w:w="3118"/>
            <w:shd w:val="clear" w:color="auto" w:fill="F2F7FB"/>
          </w:tcPr>
          <w:p>
            <w:r>
              <w:rPr>
                <w:sz w:val="18"/>
              </w:rPr>
              <w:t>Meminta penghapusan data dalam kondisi tertentu (right to erasure)</w:t>
            </w:r>
          </w:p>
        </w:tc>
        <w:tc>
          <w:tcPr>
            <w:tcW w:type="dxa" w:w="3118"/>
            <w:shd w:val="clear" w:color="auto" w:fill="F2F7FB"/>
          </w:tcPr>
          <w:p>
            <w:r>
              <w:rPr>
                <w:sz w:val="18"/>
              </w:rPr>
              <w:t>Evaluasi legalitas; hapus dalam 30 hari jika memenuhi syarat</w:t>
            </w:r>
          </w:p>
        </w:tc>
      </w:tr>
      <w:tr>
        <w:tc>
          <w:tcPr>
            <w:tcW w:type="dxa" w:w="3118"/>
            <w:shd w:val="clear" w:color="auto" w:fill="DEEAF1"/>
          </w:tcPr>
          <w:p>
            <w:r>
              <w:rPr>
                <w:sz w:val="18"/>
              </w:rPr>
              <w:t>Hak Membatasi Pemrosesan</w:t>
            </w:r>
          </w:p>
        </w:tc>
        <w:tc>
          <w:tcPr>
            <w:tcW w:type="dxa" w:w="3118"/>
            <w:shd w:val="clear" w:color="auto" w:fill="DEEAF1"/>
          </w:tcPr>
          <w:p>
            <w:r>
              <w:rPr>
                <w:sz w:val="18"/>
              </w:rPr>
              <w:t>Membatasi cara data diproses dalam kondisi tertentu</w:t>
            </w:r>
          </w:p>
        </w:tc>
        <w:tc>
          <w:tcPr>
            <w:tcW w:type="dxa" w:w="3118"/>
            <w:shd w:val="clear" w:color="auto" w:fill="DEEAF1"/>
          </w:tcPr>
          <w:p>
            <w:r>
              <w:rPr>
                <w:sz w:val="18"/>
              </w:rPr>
              <w:t>Tandai data sebagai restricted; hentikan pemrosesan non-esensial</w:t>
            </w:r>
          </w:p>
        </w:tc>
      </w:tr>
      <w:tr>
        <w:tc>
          <w:tcPr>
            <w:tcW w:type="dxa" w:w="3118"/>
            <w:shd w:val="clear" w:color="auto" w:fill="F2F7FB"/>
          </w:tcPr>
          <w:p>
            <w:r>
              <w:rPr>
                <w:sz w:val="18"/>
              </w:rPr>
              <w:t>Hak Portabilitas Data</w:t>
            </w:r>
          </w:p>
        </w:tc>
        <w:tc>
          <w:tcPr>
            <w:tcW w:type="dxa" w:w="3118"/>
            <w:shd w:val="clear" w:color="auto" w:fill="F2F7FB"/>
          </w:tcPr>
          <w:p>
            <w:r>
              <w:rPr>
                <w:sz w:val="18"/>
              </w:rPr>
              <w:t>Mendapatkan data dalam format yang dapat dibaca mesin</w:t>
            </w:r>
          </w:p>
        </w:tc>
        <w:tc>
          <w:tcPr>
            <w:tcW w:type="dxa" w:w="3118"/>
            <w:shd w:val="clear" w:color="auto" w:fill="F2F7FB"/>
          </w:tcPr>
          <w:p>
            <w:r>
              <w:rPr>
                <w:sz w:val="18"/>
              </w:rPr>
              <w:t>Ekspor data dalam format standar (JSON/CSV); terenkripsi</w:t>
            </w:r>
          </w:p>
        </w:tc>
      </w:tr>
      <w:tr>
        <w:tc>
          <w:tcPr>
            <w:tcW w:type="dxa" w:w="3118"/>
            <w:shd w:val="clear" w:color="auto" w:fill="DEEAF1"/>
          </w:tcPr>
          <w:p>
            <w:r>
              <w:rPr>
                <w:sz w:val="18"/>
              </w:rPr>
              <w:t>Hak Menolak</w:t>
            </w:r>
          </w:p>
        </w:tc>
        <w:tc>
          <w:tcPr>
            <w:tcW w:type="dxa" w:w="3118"/>
            <w:shd w:val="clear" w:color="auto" w:fill="DEEAF1"/>
          </w:tcPr>
          <w:p>
            <w:r>
              <w:rPr>
                <w:sz w:val="18"/>
              </w:rPr>
              <w:t>Menolak pemrosesan data untuk tujuan tertentu (pemasaran langsung)</w:t>
            </w:r>
          </w:p>
        </w:tc>
        <w:tc>
          <w:tcPr>
            <w:tcW w:type="dxa" w:w="3118"/>
            <w:shd w:val="clear" w:color="auto" w:fill="DEEAF1"/>
          </w:tcPr>
          <w:p>
            <w:r>
              <w:rPr>
                <w:sz w:val="18"/>
              </w:rPr>
              <w:t>Opt-out segera untuk pemasaran; evaluasi untuk tujuan lain</w:t>
            </w:r>
          </w:p>
        </w:tc>
      </w:tr>
    </w:tbl>
    <w:p/>
    <w:p>
      <w:pPr>
        <w:spacing w:before="200" w:after="120"/>
      </w:pPr>
      <w:r>
        <w:rPr>
          <w:b/>
          <w:color w:val="2E74B5"/>
          <w:sz w:val="24"/>
        </w:rPr>
        <w:t>6. Perlindungan Data di Pihak Ketiga (Third-Party Data Processing)</w:t>
      </w:r>
    </w:p>
    <w:p>
      <w:pPr>
        <w:spacing w:before="40" w:after="80"/>
      </w:pPr>
      <w:r>
        <w:rPr>
          <w:sz w:val="22"/>
        </w:rPr>
        <w:t>Ketika data Perusahaan diproses oleh pihak ketiga (vendor, cloud provider, mitra), persyaratan berikut wajib dipenuhi:</w:t>
      </w:r>
    </w:p>
    <w:p>
      <w:pPr>
        <w:pStyle w:val="ListBullet"/>
        <w:spacing w:before="40" w:after="40"/>
        <w:ind w:left="567"/>
      </w:pPr>
      <w:r>
        <w:rPr>
          <w:sz w:val="22"/>
        </w:rPr>
        <w:t>Perjanjian Pemrosesan Data (Data Processing Agreement/DPA) harus ditandatangani sebelum berbagi data.</w:t>
      </w:r>
    </w:p>
    <w:p>
      <w:pPr>
        <w:pStyle w:val="ListBullet"/>
        <w:spacing w:before="40" w:after="40"/>
        <w:ind w:left="567"/>
      </w:pPr>
      <w:r>
        <w:rPr>
          <w:sz w:val="22"/>
        </w:rPr>
        <w:t>Pihak ketiga harus membuktikan kepatuhan terhadap standar keamanan data yang setara atau lebih tinggi (ISO 27001, SOC 2 Type II).</w:t>
      </w:r>
    </w:p>
    <w:p>
      <w:pPr>
        <w:pStyle w:val="ListBullet"/>
        <w:spacing w:before="40" w:after="40"/>
        <w:ind w:left="567"/>
      </w:pPr>
      <w:r>
        <w:rPr>
          <w:sz w:val="22"/>
        </w:rPr>
        <w:t>Transfer data ke luar Indonesia harus memenuhi ketentuan UU PDP Pasal 56 (perlindungan yang setara atau izin OJK).</w:t>
      </w:r>
    </w:p>
    <w:p>
      <w:pPr>
        <w:pStyle w:val="ListBullet"/>
        <w:spacing w:before="40" w:after="40"/>
        <w:ind w:left="567"/>
      </w:pPr>
      <w:r>
        <w:rPr>
          <w:sz w:val="22"/>
        </w:rPr>
        <w:t>Audit hak pihak ketiga: Perusahaan berhak melakukan audit keamanan terhadap vendor yang memproses data sensitif.</w:t>
      </w:r>
    </w:p>
    <w:p>
      <w:pPr>
        <w:pStyle w:val="ListBullet"/>
        <w:spacing w:before="40" w:after="40"/>
        <w:ind w:left="567"/>
      </w:pPr>
      <w:r>
        <w:rPr>
          <w:sz w:val="22"/>
        </w:rPr>
        <w:t>Pemberitahuan insiden: vendor wajib memberitahu Perusahaan dalam 1x24 jam jika terjadi insiden yang melibatkan data Perusahaan.</w:t>
      </w:r>
    </w:p>
    <w:p>
      <w:pPr>
        <w:pStyle w:val="ListBullet"/>
        <w:spacing w:before="40" w:after="40"/>
        <w:ind w:left="567"/>
      </w:pPr>
      <w:r>
        <w:rPr>
          <w:sz w:val="22"/>
        </w:rPr>
        <w:t>Penghapusan data: vendor wajib menghapus/mengembalikan semua data Perusahaan saat kontrak berakhir.</w:t>
      </w:r>
    </w:p>
    <w:p>
      <w:r>
        <w:br w:type="page"/>
      </w:r>
    </w:p>
    <w:p>
      <w:pPr>
        <w:spacing w:before="280" w:after="120"/>
        <w:pBdr>
          <w:bottom w:val="single" w:sz="6" w:color="1F497D"/>
        </w:pBdr>
      </w:pPr>
      <w:r>
        <w:rPr>
          <w:b/>
          <w:color w:val="1F497D"/>
          <w:sz w:val="28"/>
        </w:rPr>
        <w:t>BAGIAN B — SOP KEAMANAN DATA</w:t>
      </w:r>
    </w:p>
    <w:p>
      <w:pPr>
        <w:spacing w:before="200" w:after="120"/>
      </w:pPr>
      <w:r>
        <w:rPr>
          <w:b/>
          <w:color w:val="2E74B5"/>
          <w:sz w:val="24"/>
        </w:rPr>
        <w:t>SOP-DS-01: Klasifikasi dan Pelabelan Data</w:t>
      </w:r>
    </w:p>
    <w:tbl>
      <w:tblPr>
        <w:tblStyle w:val="TableGrid"/>
        <w:tblW w:type="auto" w:w="0"/>
        <w:tblLook w:firstColumn="1" w:firstRow="1" w:lastColumn="0" w:lastRow="0" w:noHBand="0" w:noVBand="1" w:val="04A0"/>
      </w:tblPr>
      <w:tblGrid>
        <w:gridCol w:w="9355"/>
      </w:tblGrid>
      <w:tr>
        <w:tc>
          <w:tcPr>
            <w:tcW w:type="dxa" w:w="9355"/>
            <w:shd w:val="clear" w:color="auto" w:fill="E8F8F0"/>
          </w:tcPr>
          <w:p>
            <w:pPr>
              <w:spacing w:before="120" w:after="120"/>
              <w:ind w:left="170"/>
            </w:pPr>
            <w:r>
              <w:rPr>
                <w:i/>
                <w:sz w:val="20"/>
              </w:rPr>
              <w:t>SOP ini mengatur proses identifikasi, klasifikasi, dan pelabelan data baru atau data yang belum terklasifikasi di PT Equity Life Indonesia.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1: IDENTIFIKASI DATA BARU</w:t>
            </w:r>
          </w:p>
        </w:tc>
      </w:tr>
      <w:tr>
        <w:tc>
          <w:tcPr>
            <w:tcW w:type="dxa" w:w="9355"/>
            <w:shd w:val="clear" w:color="auto" w:fill="F0FFF8"/>
          </w:tcPr>
          <w:p>
            <w:pPr>
              <w:spacing w:before="80"/>
              <w:ind w:left="170"/>
            </w:pPr>
            <w:r>
              <w:rPr>
                <w:sz w:val="20"/>
              </w:rPr>
              <w:t>Setiap kali data baru dihasilkan (sistem baru, proses baru, akuisisi data) atau data yang ada belum terklasifikasi ditemukan, pemilik data (data owner) wajib melakukan proses klasifikasi. Identifikasi: asal data, tipe data, pengguna data, sistem yang menyimpannya, dan sensitivitasnya.</w:t>
            </w:r>
          </w:p>
          <w:p>
            <w:pPr>
              <w:spacing w:after="80"/>
              <w:ind w:left="170"/>
            </w:pPr>
            <w:r>
              <w:rPr>
                <w:b/>
                <w:color w:val="1F497D"/>
                <w:sz w:val="18"/>
              </w:rPr>
              <w:t xml:space="preserve">👤 Data Owner (manajer departemen terkait)   </w:t>
            </w:r>
            <w:r>
              <w:rPr>
                <w:color w:val="404040"/>
                <w:sz w:val="18"/>
              </w:rPr>
              <w:t xml:space="preserve">📥 Input: Data baru atau data belum terklasifikasi   </w:t>
            </w:r>
            <w:r>
              <w:rPr>
                <w:color w:val="404040"/>
                <w:sz w:val="18"/>
              </w:rPr>
              <w:t>📤 Output: Daftar data untuk diklasifikasi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2: PENERAPAN KLASIFIKASI</w:t>
            </w:r>
          </w:p>
        </w:tc>
      </w:tr>
      <w:tr>
        <w:tc>
          <w:tcPr>
            <w:tcW w:type="dxa" w:w="9355"/>
            <w:shd w:val="clear" w:color="auto" w:fill="F0FFF8"/>
          </w:tcPr>
          <w:p>
            <w:pPr>
              <w:spacing w:before="80"/>
              <w:ind w:left="170"/>
            </w:pPr>
            <w:r>
              <w:rPr>
                <w:sz w:val="20"/>
              </w:rPr>
              <w:t>Tentukan klasifikasi berdasarkan kriteria: (a) Apakah mengandung data pribadi nasabah? -&gt; min. Rahasia; (b) Apakah mengandung data kesehatan/finansial? -&gt; Sangat Rahasia; (c) Apakah informasi strategis bisnis? -&gt; Rahasia; (d) Apakah sudah dipublikasikan? -&gt; Publik. Gunakan decision tree klasifikasi data yang tersedia di intranet.</w:t>
            </w:r>
          </w:p>
          <w:p>
            <w:pPr>
              <w:spacing w:after="80"/>
              <w:ind w:left="170"/>
            </w:pPr>
            <w:r>
              <w:rPr>
                <w:b/>
                <w:color w:val="1F497D"/>
                <w:sz w:val="18"/>
              </w:rPr>
              <w:t xml:space="preserve">👤 Data Owner + DPO (untuk PII)   </w:t>
            </w:r>
            <w:r>
              <w:rPr>
                <w:color w:val="404040"/>
                <w:sz w:val="18"/>
              </w:rPr>
              <w:t xml:space="preserve">📥 Input: Daftar data + kriteria klasifikasi   </w:t>
            </w:r>
            <w:r>
              <w:rPr>
                <w:color w:val="404040"/>
                <w:sz w:val="18"/>
              </w:rPr>
              <w:t>📤 Output: Klasifikasi data yang ditetapkan</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3: PELABELAN DAN PENERAPAN KONTROL</w:t>
            </w:r>
          </w:p>
        </w:tc>
      </w:tr>
      <w:tr>
        <w:tc>
          <w:tcPr>
            <w:tcW w:type="dxa" w:w="9355"/>
            <w:shd w:val="clear" w:color="auto" w:fill="F0FFF8"/>
          </w:tcPr>
          <w:p>
            <w:pPr>
              <w:spacing w:before="80"/>
              <w:ind w:left="170"/>
            </w:pPr>
            <w:r>
              <w:rPr>
                <w:sz w:val="20"/>
              </w:rPr>
              <w:t>Terapkan label klasifikasi pada: file (metadata + watermark), database (tag di data dictionary), email (header klasifikasi), sistem (konfigurasi akses berdasarkan klasifikasi). Pastikan kontrol teknis (enkripsi, akses, DLP rules) sesuai dengan klasifikasi yang ditetapkan sudah aktif.</w:t>
            </w:r>
          </w:p>
          <w:p>
            <w:pPr>
              <w:spacing w:after="80"/>
              <w:ind w:left="170"/>
            </w:pPr>
            <w:r>
              <w:rPr>
                <w:b/>
                <w:color w:val="1F497D"/>
                <w:sz w:val="18"/>
              </w:rPr>
              <w:t xml:space="preserve">👤 IT Security Engineer + Data Owner   </w:t>
            </w:r>
            <w:r>
              <w:rPr>
                <w:color w:val="404040"/>
                <w:sz w:val="18"/>
              </w:rPr>
              <w:t xml:space="preserve">📥 Input: Klasifikasi yang ditetapkan   </w:t>
            </w:r>
            <w:r>
              <w:rPr>
                <w:color w:val="404040"/>
                <w:sz w:val="18"/>
              </w:rPr>
              <w:t>📤 Output: Data berlabel dengan kontrol aktif</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4: PENDAFTARAN KE INVENTARISASI DATA</w:t>
            </w:r>
          </w:p>
        </w:tc>
      </w:tr>
      <w:tr>
        <w:tc>
          <w:tcPr>
            <w:tcW w:type="dxa" w:w="9355"/>
            <w:shd w:val="clear" w:color="auto" w:fill="F0FFF8"/>
          </w:tcPr>
          <w:p>
            <w:pPr>
              <w:spacing w:before="80"/>
              <w:ind w:left="170"/>
            </w:pPr>
            <w:r>
              <w:rPr>
                <w:sz w:val="20"/>
              </w:rPr>
              <w:t>Daftarkan data ke Register Data Perusahaan (Data Register) yang dikelola oleh DPO. Isi: nama dataset, klasifikasi, lokasi penyimpanan, pemilik data, sistem yang menggunakan, periode retensi, dan tanggal klasifikasi. Data Register ditinjau setiap 6 bulan.</w:t>
            </w:r>
          </w:p>
          <w:p>
            <w:pPr>
              <w:spacing w:after="80"/>
              <w:ind w:left="170"/>
            </w:pPr>
            <w:r>
              <w:rPr>
                <w:b/>
                <w:color w:val="1F497D"/>
                <w:sz w:val="18"/>
              </w:rPr>
              <w:t xml:space="preserve">👤 DPO + Data Owner   </w:t>
            </w:r>
            <w:r>
              <w:rPr>
                <w:color w:val="404040"/>
                <w:sz w:val="18"/>
              </w:rPr>
              <w:t xml:space="preserve">📥 Input: Informasi data terklasifikasi   </w:t>
            </w:r>
            <w:r>
              <w:rPr>
                <w:color w:val="404040"/>
                <w:sz w:val="18"/>
              </w:rPr>
              <w:t>📤 Output: Entry baru di Data Register</w:t>
            </w:r>
          </w:p>
        </w:tc>
      </w:tr>
    </w:tbl>
    <w:p>
      <w:pPr>
        <w:spacing w:after="40"/>
      </w:pPr>
    </w:p>
    <w:p/>
    <w:p>
      <w:pPr>
        <w:spacing w:before="200" w:after="120"/>
      </w:pPr>
      <w:r>
        <w:rPr>
          <w:b/>
          <w:color w:val="2E74B5"/>
          <w:sz w:val="24"/>
        </w:rPr>
        <w:t>SOP-DS-02: Penanganan Data Breach (Kebocoran Data)</w:t>
      </w:r>
    </w:p>
    <w:tbl>
      <w:tblPr>
        <w:tblStyle w:val="TableGrid"/>
        <w:tblW w:type="auto" w:w="0"/>
        <w:tblLook w:firstColumn="1" w:firstRow="1" w:lastColumn="0" w:lastRow="0" w:noHBand="0" w:noVBand="1" w:val="04A0"/>
      </w:tblPr>
      <w:tblGrid>
        <w:gridCol w:w="9355"/>
      </w:tblGrid>
      <w:tr>
        <w:tc>
          <w:tcPr>
            <w:tcW w:type="dxa" w:w="9355"/>
            <w:shd w:val="clear" w:color="auto" w:fill="E8F8F0"/>
          </w:tcPr>
          <w:p>
            <w:pPr>
              <w:spacing w:before="120" w:after="120"/>
              <w:ind w:left="170"/>
            </w:pPr>
            <w:r>
              <w:rPr>
                <w:i/>
                <w:sz w:val="20"/>
              </w:rPr>
              <w:t>SOP ini mengatur respons terhadap insiden kebocoran data pribadi, sesuai kewajiban UU PDP dan regulasi OJK. Target waktu notifikasi ke OJK: maksimal 14 hari kerja setelah insiden dikonfirmasi.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1: DETEKSI DAN KONFIRMASI BREACH</w:t>
            </w:r>
          </w:p>
        </w:tc>
      </w:tr>
      <w:tr>
        <w:tc>
          <w:tcPr>
            <w:tcW w:type="dxa" w:w="9355"/>
            <w:shd w:val="clear" w:color="auto" w:fill="F0FFF8"/>
          </w:tcPr>
          <w:p>
            <w:pPr>
              <w:spacing w:before="80"/>
              <w:ind w:left="170"/>
            </w:pPr>
            <w:r>
              <w:rPr>
                <w:sz w:val="20"/>
              </w:rPr>
              <w:t>Segera setelah teridentifikasi potensi kebocoran data (dari alert SIEM, DLP, laporan eksternal, atau temuan internal): (1) Verifikasi bahwa ini adalah kebocoran nyata, bukan false positive; (2) Identifikasi scope awal: data apa yang terkena, berapa subjek data, sistem mana; (3) Eskalasi ke CISO dalam 1 jam setelah konfirmasi. Jangan menghapus bukti apapun.</w:t>
            </w:r>
          </w:p>
          <w:p>
            <w:pPr>
              <w:spacing w:after="80"/>
              <w:ind w:left="170"/>
            </w:pPr>
            <w:r>
              <w:rPr>
                <w:b/>
                <w:color w:val="1F497D"/>
                <w:sz w:val="18"/>
              </w:rPr>
              <w:t xml:space="preserve">👤 SOC Analyst / Tim IT Security   </w:t>
            </w:r>
            <w:r>
              <w:rPr>
                <w:color w:val="404040"/>
                <w:sz w:val="18"/>
              </w:rPr>
              <w:t xml:space="preserve">📥 Input: Alert SIEM/DLP/Laporan   </w:t>
            </w:r>
            <w:r>
              <w:rPr>
                <w:color w:val="404040"/>
                <w:sz w:val="18"/>
              </w:rPr>
              <w:t>📤 Output: Konfirmasi breach + scope awal</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2: PEMBENTUKAN TIM RESPONS BREACH</w:t>
            </w:r>
          </w:p>
        </w:tc>
      </w:tr>
      <w:tr>
        <w:tc>
          <w:tcPr>
            <w:tcW w:type="dxa" w:w="9355"/>
            <w:shd w:val="clear" w:color="auto" w:fill="F0FFF8"/>
          </w:tcPr>
          <w:p>
            <w:pPr>
              <w:spacing w:before="80"/>
              <w:ind w:left="170"/>
            </w:pPr>
            <w:r>
              <w:rPr>
                <w:sz w:val="20"/>
              </w:rPr>
              <w:t>CISO segera membentuk Data Breach Response Team: CISO (lead), DPO, Kepala IT, Legal, Komunikasi Korporat, Manajemen Risiko. Aktifkan Bridge Call/War Room. Tetapkan severity berdasarkan jumlah subjek data terdampak dan tipe data yang bocor. Dokumentasikan semua tindakan dengan timestamp.</w:t>
            </w:r>
          </w:p>
          <w:p>
            <w:pPr>
              <w:spacing w:after="80"/>
              <w:ind w:left="170"/>
            </w:pPr>
            <w:r>
              <w:rPr>
                <w:b/>
                <w:color w:val="1F497D"/>
                <w:sz w:val="18"/>
              </w:rPr>
              <w:t xml:space="preserve">👤 CISO   </w:t>
            </w:r>
            <w:r>
              <w:rPr>
                <w:color w:val="404040"/>
                <w:sz w:val="18"/>
              </w:rPr>
              <w:t xml:space="preserve">📥 Input: Konfirmasi breach + scope   </w:t>
            </w:r>
            <w:r>
              <w:rPr>
                <w:color w:val="404040"/>
                <w:sz w:val="18"/>
              </w:rPr>
              <w:t>📤 Output: Tim terbentuk + War Room aktif</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3: CONTAINMENT DAN ERADICATION</w:t>
            </w:r>
          </w:p>
        </w:tc>
      </w:tr>
      <w:tr>
        <w:tc>
          <w:tcPr>
            <w:tcW w:type="dxa" w:w="9355"/>
            <w:shd w:val="clear" w:color="auto" w:fill="F0FFF8"/>
          </w:tcPr>
          <w:p>
            <w:pPr>
              <w:spacing w:before="80"/>
              <w:ind w:left="170"/>
            </w:pPr>
            <w:r>
              <w:rPr>
                <w:sz w:val="20"/>
              </w:rPr>
              <w:t>Lakukan containment untuk menghentikan kebocoran lebih lanjut: isolasi sistem yang terkena, cabut akses yang dikompromikan, blokir kanal eksfiltrasi. Buat snapshot forensik sebelum membersihkan. Eradikasi penyebab root: patch kerentanan, hapus malware, reset credential. Jangan restore ke produksi sebelum root cause teridentifikasi.</w:t>
            </w:r>
          </w:p>
          <w:p>
            <w:pPr>
              <w:spacing w:after="80"/>
              <w:ind w:left="170"/>
            </w:pPr>
            <w:r>
              <w:rPr>
                <w:b/>
                <w:color w:val="1F497D"/>
                <w:sz w:val="18"/>
              </w:rPr>
              <w:t xml:space="preserve">👤 Tim IT Security + IR Team   </w:t>
            </w:r>
            <w:r>
              <w:rPr>
                <w:color w:val="404040"/>
                <w:sz w:val="18"/>
              </w:rPr>
              <w:t xml:space="preserve">📥 Input: Scope breach   </w:t>
            </w:r>
            <w:r>
              <w:rPr>
                <w:color w:val="404040"/>
                <w:sz w:val="18"/>
              </w:rPr>
              <w:t>📤 Output: Kebocoran terhenti; root cause teridentifikasi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4: PENILAIAN DAMPAK DAN KEWAJIBAN NOTIFIKASI</w:t>
            </w:r>
          </w:p>
        </w:tc>
      </w:tr>
      <w:tr>
        <w:tc>
          <w:tcPr>
            <w:tcW w:type="dxa" w:w="9355"/>
            <w:shd w:val="clear" w:color="auto" w:fill="F0FFF8"/>
          </w:tcPr>
          <w:p>
            <w:pPr>
              <w:spacing w:before="80"/>
              <w:ind w:left="170"/>
            </w:pPr>
            <w:r>
              <w:rPr>
                <w:sz w:val="20"/>
              </w:rPr>
              <w:t>DPO bersama Legal menilai: (a) Apakah memenuhi ambang batas pelaporan UU PDP? (b) Berapa subjek data terdampak? (c) Tipe data apa yang terlibat? (d) Risiko kerugian subjek data? Kewajiban notifikasi: Kepada OJK maksimal 14 hari kerja; kepada BSSN sesuai regulasi; kepada subjek data jika risiko tinggi (melalui email/SMS/pengumuman website).</w:t>
            </w:r>
          </w:p>
          <w:p>
            <w:pPr>
              <w:spacing w:after="80"/>
              <w:ind w:left="170"/>
            </w:pPr>
            <w:r>
              <w:rPr>
                <w:b/>
                <w:color w:val="1F497D"/>
                <w:sz w:val="18"/>
              </w:rPr>
              <w:t xml:space="preserve">👤 DPO + Legal + CISO   </w:t>
            </w:r>
            <w:r>
              <w:rPr>
                <w:color w:val="404040"/>
                <w:sz w:val="18"/>
              </w:rPr>
              <w:t xml:space="preserve">📥 Input: Scope dan tipe data bocor   </w:t>
            </w:r>
            <w:r>
              <w:rPr>
                <w:color w:val="404040"/>
                <w:sz w:val="18"/>
              </w:rPr>
              <w:t>📤 Output: Penilaian dampak + keputusan notifikasi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5: NOTIFIKASI DAN PELAPORAN</w:t>
            </w:r>
          </w:p>
        </w:tc>
      </w:tr>
      <w:tr>
        <w:tc>
          <w:tcPr>
            <w:tcW w:type="dxa" w:w="9355"/>
            <w:shd w:val="clear" w:color="auto" w:fill="F0FFF8"/>
          </w:tcPr>
          <w:p>
            <w:pPr>
              <w:spacing w:before="80"/>
              <w:ind w:left="170"/>
            </w:pPr>
            <w:r>
              <w:rPr>
                <w:sz w:val="20"/>
              </w:rPr>
              <w:t>Kirimkan notifikasi breach kepada: (1) OJK melalui kanal resmi dengan format yang ditentukan (dalam 14 hari kerja); (2) Nasabah terdampak melalui email resmi dan/atau pengumuman website jika risiko tinggi; (3) Mitra bisnis terdampak sesuai DPA. Simpan semua bukti notifikasi. Siapkan tim layanan khusus untuk pertanyaan nasabah pasca-notifikasi.</w:t>
            </w:r>
          </w:p>
          <w:p>
            <w:pPr>
              <w:spacing w:after="80"/>
              <w:ind w:left="170"/>
            </w:pPr>
            <w:r>
              <w:rPr>
                <w:b/>
                <w:color w:val="1F497D"/>
                <w:sz w:val="18"/>
              </w:rPr>
              <w:t xml:space="preserve">👤 DPO + Komunikasi Korporat + Legal   </w:t>
            </w:r>
            <w:r>
              <w:rPr>
                <w:color w:val="404040"/>
                <w:sz w:val="18"/>
              </w:rPr>
              <w:t xml:space="preserve">📥 Input: Penilaian dampak + template notifikasi   </w:t>
            </w:r>
            <w:r>
              <w:rPr>
                <w:color w:val="404040"/>
                <w:sz w:val="18"/>
              </w:rPr>
              <w:t>📤 Output: Notifikasi terkirim; bukti notifikasi tersimpan</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6: POST-BREACH REVIEW DAN PERBAIKAN</w:t>
            </w:r>
          </w:p>
        </w:tc>
      </w:tr>
      <w:tr>
        <w:tc>
          <w:tcPr>
            <w:tcW w:type="dxa" w:w="9355"/>
            <w:shd w:val="clear" w:color="auto" w:fill="F0FFF8"/>
          </w:tcPr>
          <w:p>
            <w:pPr>
              <w:spacing w:before="80"/>
              <w:ind w:left="170"/>
            </w:pPr>
            <w:r>
              <w:rPr>
                <w:sz w:val="20"/>
              </w:rPr>
              <w:t>Dalam 30 hari setelah insiden terkendali: lakukan post-mortem lengkap, identifikasi akar penyebab, buat rencana perbaikan dengan target dan penanggungjawab, implementasikan perbaikan kontrol, update risk register, dan buat laporan final untuk manajemen dan Direksi. Sharing lessons learned ke tim yang relevan.</w:t>
            </w:r>
          </w:p>
          <w:p>
            <w:pPr>
              <w:spacing w:after="80"/>
              <w:ind w:left="170"/>
            </w:pPr>
            <w:r>
              <w:rPr>
                <w:b/>
                <w:color w:val="1F497D"/>
                <w:sz w:val="18"/>
              </w:rPr>
              <w:t xml:space="preserve">👤 CISO + DPO + Tim IT Security   </w:t>
            </w:r>
            <w:r>
              <w:rPr>
                <w:color w:val="404040"/>
                <w:sz w:val="18"/>
              </w:rPr>
              <w:t xml:space="preserve">📥 Input: Dokumentasi insiden + findings   </w:t>
            </w:r>
            <w:r>
              <w:rPr>
                <w:color w:val="404040"/>
                <w:sz w:val="18"/>
              </w:rPr>
              <w:t>📤 Output: Post-mortem report + action plan</w:t>
            </w:r>
          </w:p>
        </w:tc>
      </w:tr>
    </w:tbl>
    <w:p>
      <w:pPr>
        <w:spacing w:after="40"/>
      </w:pPr>
    </w:p>
    <w:p/>
    <w:p>
      <w:pPr>
        <w:spacing w:before="200" w:after="120"/>
      </w:pPr>
      <w:r>
        <w:rPr>
          <w:b/>
          <w:color w:val="2E74B5"/>
          <w:sz w:val="24"/>
        </w:rPr>
        <w:t>SOP-DS-03: Transfer Data Aman</w:t>
      </w:r>
    </w:p>
    <w:tbl>
      <w:tblPr>
        <w:tblStyle w:val="TableGrid"/>
        <w:tblW w:type="auto" w:w="0"/>
        <w:tblLook w:firstColumn="1" w:firstRow="1" w:lastColumn="0" w:lastRow="0" w:noHBand="0" w:noVBand="1" w:val="04A0"/>
      </w:tblPr>
      <w:tblGrid>
        <w:gridCol w:w="9355"/>
      </w:tblGrid>
      <w:tr>
        <w:tc>
          <w:tcPr>
            <w:tcW w:type="dxa" w:w="9355"/>
            <w:shd w:val="clear" w:color="auto" w:fill="E8F8F0"/>
          </w:tcPr>
          <w:p>
            <w:pPr>
              <w:spacing w:before="120" w:after="120"/>
              <w:ind w:left="170"/>
            </w:pPr>
            <w:r>
              <w:rPr>
                <w:i/>
                <w:sz w:val="20"/>
              </w:rPr>
              <w:t>SOP ini mengatur prosedur transfer data sensitif ke pihak internal maupun eksternal.</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1: PENILAIAN TRANSFER</w:t>
            </w:r>
          </w:p>
        </w:tc>
      </w:tr>
      <w:tr>
        <w:tc>
          <w:tcPr>
            <w:tcW w:type="dxa" w:w="9355"/>
            <w:shd w:val="clear" w:color="auto" w:fill="F0FFF8"/>
          </w:tcPr>
          <w:p>
            <w:pPr>
              <w:spacing w:before="80"/>
              <w:ind w:left="170"/>
            </w:pPr>
            <w:r>
              <w:rPr>
                <w:sz w:val="20"/>
              </w:rPr>
              <w:t>Sebelum melakukan transfer data, nilai: (a) Klasifikasi data yang akan ditransfer; (b) Identitas dan otorisasi penerima; (c) Tujuan transfer dan dasar hukum (consent, kontrak, kewajiban hukum); (d) Apakah transfer lintas batas negara? Jika ya, pastikan perlindungan memadai sesuai UU PDP Pasal 56.</w:t>
            </w:r>
          </w:p>
          <w:p>
            <w:pPr>
              <w:spacing w:after="80"/>
              <w:ind w:left="170"/>
            </w:pPr>
            <w:r>
              <w:rPr>
                <w:b/>
                <w:color w:val="1F497D"/>
                <w:sz w:val="18"/>
              </w:rPr>
              <w:t xml:space="preserve">👤 Data Owner + DPO (untuk PII)   </w:t>
            </w:r>
            <w:r>
              <w:rPr>
                <w:color w:val="404040"/>
                <w:sz w:val="18"/>
              </w:rPr>
              <w:t xml:space="preserve">📥 Input: Permintaan transfer data   </w:t>
            </w:r>
            <w:r>
              <w:rPr>
                <w:color w:val="404040"/>
                <w:sz w:val="18"/>
              </w:rPr>
              <w:t>📤 Output: Persetujuan dan metode transfer yang ditetapkan</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2: ENKRIPSI DAN PENGIRIMAN</w:t>
            </w:r>
          </w:p>
        </w:tc>
      </w:tr>
      <w:tr>
        <w:tc>
          <w:tcPr>
            <w:tcW w:type="dxa" w:w="9355"/>
            <w:shd w:val="clear" w:color="auto" w:fill="F0FFF8"/>
          </w:tcPr>
          <w:p>
            <w:pPr>
              <w:spacing w:before="80"/>
              <w:ind w:left="170"/>
            </w:pPr>
            <w:r>
              <w:rPr>
                <w:sz w:val="20"/>
              </w:rPr>
              <w:t>Terapkan enkripsi sesuai standar sebelum transfer: gunakan SFTP/FTPS (bukan FTP biasa) untuk transfer file besar; email berisi data Rahasia wajib menggunakan S/MIME atau enkripsi end-to-end; API transfer wajib menggunakan TLS 1.2+; media fisik (USB/HDD) wajib dienkripsi dengan AES-256. Sertakan checksum (SHA-256) untuk verifikasi integritas.</w:t>
            </w:r>
          </w:p>
          <w:p>
            <w:pPr>
              <w:spacing w:after="80"/>
              <w:ind w:left="170"/>
            </w:pPr>
            <w:r>
              <w:rPr>
                <w:b/>
                <w:color w:val="1F497D"/>
                <w:sz w:val="18"/>
              </w:rPr>
              <w:t xml:space="preserve">👤 IT Security / Pengirim data   </w:t>
            </w:r>
            <w:r>
              <w:rPr>
                <w:color w:val="404040"/>
                <w:sz w:val="18"/>
              </w:rPr>
              <w:t xml:space="preserve">📥 Input: Data terklasifikasi + metode transfer   </w:t>
            </w:r>
            <w:r>
              <w:rPr>
                <w:color w:val="404040"/>
                <w:sz w:val="18"/>
              </w:rPr>
              <w:t>📤 Output: Data terkirim dengan aman + checksum</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B5345"/>
          </w:tcPr>
          <w:p>
            <w:pPr>
              <w:spacing w:before="80" w:after="80"/>
            </w:pPr>
            <w:r>
              <w:rPr>
                <w:b/>
                <w:color w:val="FFFFFF"/>
                <w:sz w:val="20"/>
              </w:rPr>
              <w:t xml:space="preserve">  Langkah 3: KONFIRMASI PENERIMAAN DAN DOKUMENTASI</w:t>
            </w:r>
          </w:p>
        </w:tc>
      </w:tr>
      <w:tr>
        <w:tc>
          <w:tcPr>
            <w:tcW w:type="dxa" w:w="9355"/>
            <w:shd w:val="clear" w:color="auto" w:fill="F0FFF8"/>
          </w:tcPr>
          <w:p>
            <w:pPr>
              <w:spacing w:before="80"/>
              <w:ind w:left="170"/>
            </w:pPr>
            <w:r>
              <w:rPr>
                <w:sz w:val="20"/>
              </w:rPr>
              <w:t>Penerima wajib mengkonfirmasi penerimaan dan memverifikasi integritas data (cocokkan checksum). Dokumentasikan transfer dalam Transfer Log: tanggal, pengirim, penerima, tipe data, volume, metode enkripsi, tujuan. Transfer Log diaudit setiap bulan oleh DPO.</w:t>
            </w:r>
          </w:p>
          <w:p>
            <w:pPr>
              <w:spacing w:after="80"/>
              <w:ind w:left="170"/>
            </w:pPr>
            <w:r>
              <w:rPr>
                <w:b/>
                <w:color w:val="1F497D"/>
                <w:sz w:val="18"/>
              </w:rPr>
              <w:t xml:space="preserve">👤 Penerima data + Pengirim data   </w:t>
            </w:r>
            <w:r>
              <w:rPr>
                <w:color w:val="404040"/>
                <w:sz w:val="18"/>
              </w:rPr>
              <w:t xml:space="preserve">📥 Input: Data diterima + checksum   </w:t>
            </w:r>
            <w:r>
              <w:rPr>
                <w:color w:val="404040"/>
                <w:sz w:val="18"/>
              </w:rPr>
              <w:t>📤 Output: Konfirmasi penerimaan + entry Transfer Log</w:t>
            </w:r>
          </w:p>
        </w:tc>
      </w:tr>
    </w:tbl>
    <w:p>
      <w:pPr>
        <w:spacing w:after="40"/>
      </w:pPr>
    </w:p>
    <w:p/>
    <w:p>
      <w:pPr>
        <w:spacing w:before="200" w:after="120"/>
      </w:pPr>
      <w:r>
        <w:rPr>
          <w:b/>
          <w:color w:val="2E74B5"/>
          <w:sz w:val="24"/>
        </w:rPr>
        <w:t>7. Indikator Kinerja (KPI) Keamanan Data</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Metrik</w:t>
            </w:r>
          </w:p>
        </w:tc>
        <w:tc>
          <w:tcPr>
            <w:tcW w:type="dxa" w:w="2339"/>
            <w:shd w:val="clear" w:color="auto" w:fill="1F497D"/>
          </w:tcPr>
          <w:p>
            <w:r>
              <w:rPr>
                <w:b/>
                <w:color w:val="FFFFFF"/>
                <w:sz w:val="18"/>
              </w:rPr>
              <w:t>Deskripsi</w:t>
            </w:r>
          </w:p>
        </w:tc>
        <w:tc>
          <w:tcPr>
            <w:tcW w:type="dxa" w:w="2339"/>
            <w:shd w:val="clear" w:color="auto" w:fill="1F497D"/>
          </w:tcPr>
          <w:p>
            <w:r>
              <w:rPr>
                <w:b/>
                <w:color w:val="FFFFFF"/>
                <w:sz w:val="18"/>
              </w:rPr>
              <w:t>Target</w:t>
            </w:r>
          </w:p>
        </w:tc>
        <w:tc>
          <w:tcPr>
            <w:tcW w:type="dxa" w:w="2339"/>
            <w:shd w:val="clear" w:color="auto" w:fill="1F497D"/>
          </w:tcPr>
          <w:p>
            <w:r>
              <w:rPr>
                <w:b/>
                <w:color w:val="FFFFFF"/>
                <w:sz w:val="18"/>
              </w:rPr>
              <w:t>Frekuensi</w:t>
            </w:r>
          </w:p>
        </w:tc>
      </w:tr>
      <w:tr>
        <w:tc>
          <w:tcPr>
            <w:tcW w:type="dxa" w:w="2339"/>
            <w:shd w:val="clear" w:color="auto" w:fill="DEEAF1"/>
          </w:tcPr>
          <w:p>
            <w:r>
              <w:rPr>
                <w:sz w:val="18"/>
              </w:rPr>
              <w:t>Zero data breach yang melibatkan data nasabah</w:t>
            </w:r>
          </w:p>
        </w:tc>
        <w:tc>
          <w:tcPr>
            <w:tcW w:type="dxa" w:w="2339"/>
            <w:shd w:val="clear" w:color="auto" w:fill="DEEAF1"/>
          </w:tcPr>
          <w:p>
            <w:r>
              <w:rPr>
                <w:sz w:val="18"/>
              </w:rPr>
              <w:t>Jumlah insiden kebocoran data terkonfirmasi</w:t>
            </w:r>
          </w:p>
        </w:tc>
        <w:tc>
          <w:tcPr>
            <w:tcW w:type="dxa" w:w="2339"/>
            <w:shd w:val="clear" w:color="auto" w:fill="DEEAF1"/>
          </w:tcPr>
          <w:p>
            <w:r>
              <w:rPr>
                <w:sz w:val="18"/>
              </w:rPr>
              <w:t>0 per tahun</w:t>
            </w:r>
          </w:p>
        </w:tc>
        <w:tc>
          <w:tcPr>
            <w:tcW w:type="dxa" w:w="2339"/>
            <w:shd w:val="clear" w:color="auto" w:fill="DEEAF1"/>
          </w:tcPr>
          <w:p>
            <w:r>
              <w:rPr>
                <w:sz w:val="18"/>
              </w:rPr>
              <w:t>Bulanan</w:t>
            </w:r>
          </w:p>
        </w:tc>
      </w:tr>
      <w:tr>
        <w:tc>
          <w:tcPr>
            <w:tcW w:type="dxa" w:w="2339"/>
            <w:shd w:val="clear" w:color="auto" w:fill="F2F7FB"/>
          </w:tcPr>
          <w:p>
            <w:r>
              <w:rPr>
                <w:sz w:val="18"/>
              </w:rPr>
              <w:t>Klasifikasi data yang lengkap</w:t>
            </w:r>
          </w:p>
        </w:tc>
        <w:tc>
          <w:tcPr>
            <w:tcW w:type="dxa" w:w="2339"/>
            <w:shd w:val="clear" w:color="auto" w:fill="F2F7FB"/>
          </w:tcPr>
          <w:p>
            <w:r>
              <w:rPr>
                <w:sz w:val="18"/>
              </w:rPr>
              <w:t>% data terklasifikasi dari total inventarisasi</w:t>
            </w:r>
          </w:p>
        </w:tc>
        <w:tc>
          <w:tcPr>
            <w:tcW w:type="dxa" w:w="2339"/>
            <w:shd w:val="clear" w:color="auto" w:fill="F2F7FB"/>
          </w:tcPr>
          <w:p>
            <w:r>
              <w:rPr>
                <w:sz w:val="18"/>
              </w:rPr>
              <w:t>&gt;= 95%</w:t>
            </w:r>
          </w:p>
        </w:tc>
        <w:tc>
          <w:tcPr>
            <w:tcW w:type="dxa" w:w="2339"/>
            <w:shd w:val="clear" w:color="auto" w:fill="F2F7FB"/>
          </w:tcPr>
          <w:p>
            <w:r>
              <w:rPr>
                <w:sz w:val="18"/>
              </w:rPr>
              <w:t>Kuartalan</w:t>
            </w:r>
          </w:p>
        </w:tc>
      </w:tr>
      <w:tr>
        <w:tc>
          <w:tcPr>
            <w:tcW w:type="dxa" w:w="2339"/>
            <w:shd w:val="clear" w:color="auto" w:fill="DEEAF1"/>
          </w:tcPr>
          <w:p>
            <w:r>
              <w:rPr>
                <w:sz w:val="18"/>
              </w:rPr>
              <w:t>Enkripsi data sensitif</w:t>
            </w:r>
          </w:p>
        </w:tc>
        <w:tc>
          <w:tcPr>
            <w:tcW w:type="dxa" w:w="2339"/>
            <w:shd w:val="clear" w:color="auto" w:fill="DEEAF1"/>
          </w:tcPr>
          <w:p>
            <w:r>
              <w:rPr>
                <w:sz w:val="18"/>
              </w:rPr>
              <w:t>% data Rahasia &amp; Sangat Rahasia yang terenkripsi</w:t>
            </w:r>
          </w:p>
        </w:tc>
        <w:tc>
          <w:tcPr>
            <w:tcW w:type="dxa" w:w="2339"/>
            <w:shd w:val="clear" w:color="auto" w:fill="DEEAF1"/>
          </w:tcPr>
          <w:p>
            <w:r>
              <w:rPr>
                <w:sz w:val="18"/>
              </w:rPr>
              <w:t>100%</w:t>
            </w:r>
          </w:p>
        </w:tc>
        <w:tc>
          <w:tcPr>
            <w:tcW w:type="dxa" w:w="2339"/>
            <w:shd w:val="clear" w:color="auto" w:fill="DEEAF1"/>
          </w:tcPr>
          <w:p>
            <w:r>
              <w:rPr>
                <w:sz w:val="18"/>
              </w:rPr>
              <w:t>Bulanan</w:t>
            </w:r>
          </w:p>
        </w:tc>
      </w:tr>
      <w:tr>
        <w:tc>
          <w:tcPr>
            <w:tcW w:type="dxa" w:w="2339"/>
            <w:shd w:val="clear" w:color="auto" w:fill="F2F7FB"/>
          </w:tcPr>
          <w:p>
            <w:r>
              <w:rPr>
                <w:sz w:val="18"/>
              </w:rPr>
              <w:t>Pemulihan hak subjek data</w:t>
            </w:r>
          </w:p>
        </w:tc>
        <w:tc>
          <w:tcPr>
            <w:tcW w:type="dxa" w:w="2339"/>
            <w:shd w:val="clear" w:color="auto" w:fill="F2F7FB"/>
          </w:tcPr>
          <w:p>
            <w:r>
              <w:rPr>
                <w:sz w:val="18"/>
              </w:rPr>
              <w:t>% permintaan hak subjek data diselesaikan dalam SLA</w:t>
            </w:r>
          </w:p>
        </w:tc>
        <w:tc>
          <w:tcPr>
            <w:tcW w:type="dxa" w:w="2339"/>
            <w:shd w:val="clear" w:color="auto" w:fill="F2F7FB"/>
          </w:tcPr>
          <w:p>
            <w:r>
              <w:rPr>
                <w:sz w:val="18"/>
              </w:rPr>
              <w:t>&gt;= 95%</w:t>
            </w:r>
          </w:p>
        </w:tc>
        <w:tc>
          <w:tcPr>
            <w:tcW w:type="dxa" w:w="2339"/>
            <w:shd w:val="clear" w:color="auto" w:fill="F2F7FB"/>
          </w:tcPr>
          <w:p>
            <w:r>
              <w:rPr>
                <w:sz w:val="18"/>
              </w:rPr>
              <w:t>Bulanan</w:t>
            </w:r>
          </w:p>
        </w:tc>
      </w:tr>
      <w:tr>
        <w:tc>
          <w:tcPr>
            <w:tcW w:type="dxa" w:w="2339"/>
            <w:shd w:val="clear" w:color="auto" w:fill="DEEAF1"/>
          </w:tcPr>
          <w:p>
            <w:r>
              <w:rPr>
                <w:sz w:val="18"/>
              </w:rPr>
              <w:t>Audit pihak ketiga</w:t>
            </w:r>
          </w:p>
        </w:tc>
        <w:tc>
          <w:tcPr>
            <w:tcW w:type="dxa" w:w="2339"/>
            <w:shd w:val="clear" w:color="auto" w:fill="DEEAF1"/>
          </w:tcPr>
          <w:p>
            <w:r>
              <w:rPr>
                <w:sz w:val="18"/>
              </w:rPr>
              <w:t>% vendor kritis yang telah melalui security assessment tahunan</w:t>
            </w:r>
          </w:p>
        </w:tc>
        <w:tc>
          <w:tcPr>
            <w:tcW w:type="dxa" w:w="2339"/>
            <w:shd w:val="clear" w:color="auto" w:fill="DEEAF1"/>
          </w:tcPr>
          <w:p>
            <w:r>
              <w:rPr>
                <w:sz w:val="18"/>
              </w:rPr>
              <w:t>100%</w:t>
            </w:r>
          </w:p>
        </w:tc>
        <w:tc>
          <w:tcPr>
            <w:tcW w:type="dxa" w:w="2339"/>
            <w:shd w:val="clear" w:color="auto" w:fill="DEEAF1"/>
          </w:tcPr>
          <w:p>
            <w:r>
              <w:rPr>
                <w:sz w:val="18"/>
              </w:rPr>
              <w:t>Tahunan</w:t>
            </w:r>
          </w:p>
        </w:tc>
      </w:tr>
      <w:tr>
        <w:tc>
          <w:tcPr>
            <w:tcW w:type="dxa" w:w="2339"/>
            <w:shd w:val="clear" w:color="auto" w:fill="F2F7FB"/>
          </w:tcPr>
          <w:p>
            <w:r>
              <w:rPr>
                <w:sz w:val="18"/>
              </w:rPr>
              <w:t>Patch data exposure vulnerabilities</w:t>
            </w:r>
          </w:p>
        </w:tc>
        <w:tc>
          <w:tcPr>
            <w:tcW w:type="dxa" w:w="2339"/>
            <w:shd w:val="clear" w:color="auto" w:fill="F2F7FB"/>
          </w:tcPr>
          <w:p>
            <w:r>
              <w:rPr>
                <w:sz w:val="18"/>
              </w:rPr>
              <w:t>% kerentanan yang mengekspos data kritis di-patch dalam 72 jam</w:t>
            </w:r>
          </w:p>
        </w:tc>
        <w:tc>
          <w:tcPr>
            <w:tcW w:type="dxa" w:w="2339"/>
            <w:shd w:val="clear" w:color="auto" w:fill="F2F7FB"/>
          </w:tcPr>
          <w:p>
            <w:r>
              <w:rPr>
                <w:sz w:val="18"/>
              </w:rPr>
              <w:t>&gt;= 98%</w:t>
            </w:r>
          </w:p>
        </w:tc>
        <w:tc>
          <w:tcPr>
            <w:tcW w:type="dxa" w:w="2339"/>
            <w:shd w:val="clear" w:color="auto" w:fill="F2F7FB"/>
          </w:tcPr>
          <w:p>
            <w:r>
              <w:rPr>
                <w:sz w:val="18"/>
              </w:rPr>
              <w:t>Bulanan</w:t>
            </w:r>
          </w:p>
        </w:tc>
      </w:tr>
    </w:tbl>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ISMS-DS-001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Kebijakan dan SOP Keamanan Data  |  ISMS-DS-001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