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REGISTER &amp; INVENTARISASI</w:t>
      </w:r>
    </w:p>
    <w:p>
      <w:pPr>
        <w:pBdr>
          <w:top w:val="single" w:color="C8A84B" w:sz="4" w:space="4"/>
          <w:bottom w:val="single" w:color="C8A84B" w:sz="4" w:space="4"/>
        </w:pBdr>
        <w:spacing w:before="0" w:after="240"/>
        <w:jc w:val="center"/>
      </w:pPr>
      <w:r>
        <w:rPr>
          <w:rFonts w:ascii="Arial" w:cs="Arial" w:eastAsia="Arial" w:hAnsi="Arial"/>
          <w:b/>
          <w:bCs/>
          <w:color w:val="1A3C6B"/>
          <w:sz w:val="40"/>
          <w:szCs w:val="40"/>
        </w:rPr>
        <w:t xml:space="preserve">Inventarisasi Data Pribadi — Records of Processing Activities (RoPA)</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ELI-PDPISO27701-005</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w:t>
      </w:r>
    </w:p>
    <w:p>
      <w:pPr>
        <w:spacing w:before="60" w:after="60"/>
      </w:pPr>
      <w:r>
        <w:rPr>
          <w:rFonts w:ascii="Arial" w:cs="Arial" w:eastAsia="Arial" w:hAnsi="Arial"/>
          <w:color w:val="404040"/>
          <w:sz w:val="20"/>
          <w:szCs w:val="20"/>
        </w:rPr>
        <w:t xml:space="preserve">Dokumen ini merupakan catatan aktivitas pemrosesan data pribadi (Records of Processing Activities/RoPA) PT Equity Life Indonesia sebagaimana diwajibkan oleh UU PDP Pasal 4–5 dan ISO 27701:2019 Klausul 8.5.3. RoPA berfungsi sebagai inventarisasi terpusat seluruh aktivitas pemrosesan PII yang menjadi dasar program perlindungan data pribadi perusahaan.</w:t>
      </w:r>
    </w:p>
    <w:p>
      <w:pPr>
        <w:spacing w:before="60" w:after="60"/>
      </w:pPr>
      <w:r>
        <w:rPr>
          <w:rFonts w:ascii="Arial" w:cs="Arial" w:eastAsia="Arial" w:hAnsi="Arial"/>
          <w:color w:val="404040"/>
          <w:sz w:val="20"/>
          <w:szCs w:val="20"/>
        </w:rPr>
        <w:t xml:space="preserve">RoPA ini harus diperbarui setiap kali terjadi perubahan signifikan pada proses bisnis, sistem, atau regulasi yang berlaku. DPO bertanggung jawab memastikan pembaruan RoPA dilakukan minimal satu kali per tahun dan setiap kali ada perubahan material.</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2. Petunjuk Penggunaan</w:t>
      </w:r>
    </w:p>
    <w:p>
      <w:pPr>
        <w:pStyle w:val="ListParagraph"/>
        <w:numPr>
          <w:ilvl w:val="0"/>
          <w:numId w:val="2"/>
        </w:numPr>
        <w:spacing w:before="40" w:after="40"/>
      </w:pPr>
      <w:r>
        <w:rPr>
          <w:rFonts w:ascii="Arial" w:cs="Arial" w:eastAsia="Arial" w:hAnsi="Arial"/>
          <w:color w:val="404040"/>
          <w:sz w:val="20"/>
          <w:szCs w:val="20"/>
        </w:rPr>
        <w:t xml:space="preserve">Kolom Dasar Hukum diisi dengan salah satu atau kombinasi dari: Persetujuan (Pasal 20), Kontrak (Pasal 20), Kewajiban Hukum (Pasal 20), Kepentingan Vital (Pasal 20), Kepentingan Publik (Pasal 20)</w:t>
      </w:r>
    </w:p>
    <w:p>
      <w:pPr>
        <w:pStyle w:val="ListParagraph"/>
        <w:numPr>
          <w:ilvl w:val="0"/>
          <w:numId w:val="2"/>
        </w:numPr>
        <w:spacing w:before="40" w:after="40"/>
      </w:pPr>
      <w:r>
        <w:rPr>
          <w:rFonts w:ascii="Arial" w:cs="Arial" w:eastAsia="Arial" w:hAnsi="Arial"/>
          <w:color w:val="404040"/>
          <w:sz w:val="20"/>
          <w:szCs w:val="20"/>
        </w:rPr>
        <w:t xml:space="preserve">Kolom Risiko diisi berdasarkan hasil Privacy Risk Assessment: Rendah / Sedang / Tinggi</w:t>
      </w:r>
    </w:p>
    <w:p>
      <w:pPr>
        <w:pStyle w:val="ListParagraph"/>
        <w:numPr>
          <w:ilvl w:val="0"/>
          <w:numId w:val="2"/>
        </w:numPr>
        <w:spacing w:before="40" w:after="40"/>
      </w:pPr>
      <w:r>
        <w:rPr>
          <w:rFonts w:ascii="Arial" w:cs="Arial" w:eastAsia="Arial" w:hAnsi="Arial"/>
          <w:color w:val="404040"/>
          <w:sz w:val="20"/>
          <w:szCs w:val="20"/>
        </w:rPr>
        <w:t xml:space="preserve">Kolom Retensi mengacu pada Kebijakan Retensi Data (ELI-PDPISO27701-018)</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3. Register Aktivitas Pemrosesan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1600"/>
        <w:gridCol w:w="1500"/>
        <w:gridCol w:w="1200"/>
        <w:gridCol w:w="1000"/>
        <w:gridCol w:w="800"/>
        <w:gridCol w:w="5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 Pemrosesan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Kerja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Kategori Data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Tujuan</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Dasar Hukum</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Pihak Ketiga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Retensi</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Risiko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Pengumpulan data permohonan asuransi jiwa (SPAJ)</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 NB Individual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1: Data kesehatan, Kelas 2: NIK, data polis; Kelas 3: Identitas umum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Underwriting &amp; penerbitan polis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Dokter panel, Reinsurance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Seumur polis + 5 tahun</w:t>
            </w:r>
          </w:p>
        </w:tc>
        <w:tc>
          <w:tcPr>
            <w:tcW w:type="dxa" w:w="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2</w:t>
            </w:r>
          </w:p>
        </w:tc>
        <w:tc>
          <w:tcPr>
            <w:tcW w:type="dxa" w:w="2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Pemrosesan klaim asuransi jiwa individual</w:t>
            </w:r>
          </w:p>
        </w:tc>
        <w:tc>
          <w:tcPr>
            <w:tcW w:type="dxa" w:w="1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 Claim Individual</w:t>
            </w:r>
          </w:p>
        </w:tc>
        <w:tc>
          <w:tcPr>
            <w:tcW w:type="dxa" w:w="16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1: Data kesehatan, data medis; Kelas 2: Data klaim, polis</w:t>
            </w:r>
          </w:p>
        </w:tc>
        <w:tc>
          <w:tcPr>
            <w:tcW w:type="dxa" w:w="1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Verifikasi &amp; pembayaran klaim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Provider/RS, Dokter Pemeriksa, Reinsurer</w:t>
            </w:r>
          </w:p>
        </w:tc>
        <w:tc>
          <w:tcPr>
            <w:tcW w:type="dxa" w:w="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10 tahun</w:t>
            </w:r>
          </w:p>
        </w:tc>
        <w:tc>
          <w:tcPr>
            <w:tcW w:type="dxa" w:w="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Pemrosesan klaim asuransi jiwa korporat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 Claim Institutional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1: Data kesehatan karyawan; Kelas 2: Data klaim korporat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Verifikasi &amp; pembayaran klaim grup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Provider/RS, Perusahaan pemberi kerja</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10 tahun</w:t>
            </w:r>
          </w:p>
        </w:tc>
        <w:tc>
          <w:tcPr>
            <w:tcW w:type="dxa" w:w="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4</w:t>
            </w:r>
          </w:p>
        </w:tc>
        <w:tc>
          <w:tcPr>
            <w:tcW w:type="dxa" w:w="2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Onboarding nasabah digital (e-KYC)</w:t>
            </w:r>
          </w:p>
        </w:tc>
        <w:tc>
          <w:tcPr>
            <w:tcW w:type="dxa" w:w="1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Digital Solution — Apps Dev</w:t>
            </w:r>
          </w:p>
        </w:tc>
        <w:tc>
          <w:tcPr>
            <w:tcW w:type="dxa" w:w="16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1: Data biometrik (wajah); Kelas 2: NIK, selfie</w:t>
            </w:r>
          </w:p>
        </w:tc>
        <w:tc>
          <w:tcPr>
            <w:tcW w:type="dxa" w:w="1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Verifikasi identitas nasabah</w:t>
            </w:r>
          </w:p>
        </w:tc>
        <w:tc>
          <w:tcPr>
            <w:tcW w:type="dxa" w:w="1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Persetujuan, Kewajiban Hukum (APU-PPT)</w:t>
            </w:r>
          </w:p>
        </w:tc>
        <w:tc>
          <w:tcPr>
            <w:tcW w:type="dxa" w:w="10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Vendor e-KYC, Dukcapil</w:t>
            </w:r>
          </w:p>
        </w:tc>
        <w:tc>
          <w:tcPr>
            <w:tcW w:type="dxa" w:w="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5 tahun setelah berakhir hubungan</w:t>
            </w:r>
          </w:p>
        </w:tc>
        <w:tc>
          <w:tcPr>
            <w:tcW w:type="dxa" w:w="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Pengelolaan polis aktif nasabah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 Client Services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2: Data polis, nilai tunai; Kelas 3: Identitas, kontak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Administrasi &amp; layanan polis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Agen, Bank Mitra</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Seumur polis + 5 tahun</w:t>
            </w:r>
          </w:p>
        </w:tc>
        <w:tc>
          <w:tcPr>
            <w:tcW w:type="dxa" w:w="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Sedang</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6</w:t>
            </w:r>
          </w:p>
        </w:tc>
        <w:tc>
          <w:tcPr>
            <w:tcW w:type="dxa" w:w="2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Pemrosesan pembayaran premi via payment gateway</w:t>
            </w:r>
          </w:p>
        </w:tc>
        <w:tc>
          <w:tcPr>
            <w:tcW w:type="dxa" w:w="1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Core / Finance</w:t>
            </w:r>
          </w:p>
        </w:tc>
        <w:tc>
          <w:tcPr>
            <w:tcW w:type="dxa" w:w="16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2: Data rekening, nomor polis; Kelas 3: Nama, email</w:t>
            </w:r>
          </w:p>
        </w:tc>
        <w:tc>
          <w:tcPr>
            <w:tcW w:type="dxa" w:w="1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Penerimaan pembayaran premi</w:t>
            </w:r>
          </w:p>
        </w:tc>
        <w:tc>
          <w:tcPr>
            <w:tcW w:type="dxa" w:w="1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Bank, Payment Gateway</w:t>
            </w:r>
          </w:p>
        </w:tc>
        <w:tc>
          <w:tcPr>
            <w:tcW w:type="dxa" w:w="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7 tahun (ketentuan perpajakan)</w:t>
            </w:r>
          </w:p>
        </w:tc>
        <w:tc>
          <w:tcPr>
            <w:tcW w:type="dxa" w:w="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Sedang</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Pengelolaan data agen &amp; mitra keagenan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Business — Individual &amp; Institutional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2: NIK, nomor agen; Kelas 3: Identitas, kontak, komisi</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Manajemen kinerja &amp; komisi agen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Bank (pembayaran komisi)</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Selama aktif + 5 tahun</w:t>
            </w:r>
          </w:p>
        </w:tc>
        <w:tc>
          <w:tcPr>
            <w:tcW w:type="dxa" w:w="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Sedang</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8</w:t>
            </w:r>
          </w:p>
        </w:tc>
        <w:tc>
          <w:tcPr>
            <w:tcW w:type="dxa" w:w="2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Pelaporan statistik &amp; regulasi ke OJK</w:t>
            </w:r>
          </w:p>
        </w:tc>
        <w:tc>
          <w:tcPr>
            <w:tcW w:type="dxa" w:w="1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Finance — Actuary &amp; Finance</w:t>
            </w:r>
          </w:p>
        </w:tc>
        <w:tc>
          <w:tcPr>
            <w:tcW w:type="dxa" w:w="16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2: Data polis agregat; Kelas 3: Data demografis nasabah</w:t>
            </w:r>
          </w:p>
        </w:tc>
        <w:tc>
          <w:tcPr>
            <w:tcW w:type="dxa" w:w="1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Kepatuhan pelaporan regulasi</w:t>
            </w:r>
          </w:p>
        </w:tc>
        <w:tc>
          <w:tcPr>
            <w:tcW w:type="dxa" w:w="1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Kewajiban Hukum</w:t>
            </w:r>
          </w:p>
        </w:tc>
        <w:tc>
          <w:tcPr>
            <w:tcW w:type="dxa" w:w="10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OJK (regulator)</w:t>
            </w:r>
          </w:p>
        </w:tc>
        <w:tc>
          <w:tcPr>
            <w:tcW w:type="dxa" w:w="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10 tahun</w:t>
            </w:r>
          </w:p>
        </w:tc>
        <w:tc>
          <w:tcPr>
            <w:tcW w:type="dxa" w:w="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Rendah</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Program pemasaran &amp; komunikasi nasabah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Business — Digital Acquisition &amp; Marketing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3: Email, telepon, preferensi produk</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Pemasaran produk asuransi jiwa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Persetujuan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Vendor email marketing, SMS gateway</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3 tahun atau sampai opt-out</w:t>
            </w:r>
          </w:p>
        </w:tc>
        <w:tc>
          <w:tcPr>
            <w:tcW w:type="dxa" w:w="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Sedang</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10</w:t>
            </w:r>
          </w:p>
        </w:tc>
        <w:tc>
          <w:tcPr>
            <w:tcW w:type="dxa" w:w="2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Pengelolaan data karyawan &amp; rekrutmen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Human Capital</w:t>
            </w:r>
          </w:p>
        </w:tc>
        <w:tc>
          <w:tcPr>
            <w:tcW w:type="dxa" w:w="16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2: NIK, data kontrak; Kelas 1: Data kesehatan (BPJS/medical check)</w:t>
            </w:r>
          </w:p>
        </w:tc>
        <w:tc>
          <w:tcPr>
            <w:tcW w:type="dxa" w:w="1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Manajemen SDM &amp; ketenagakerjaan</w:t>
            </w:r>
          </w:p>
        </w:tc>
        <w:tc>
          <w:tcPr>
            <w:tcW w:type="dxa" w:w="1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 Kewajiban Hukum</w:t>
            </w:r>
          </w:p>
        </w:tc>
        <w:tc>
          <w:tcPr>
            <w:tcW w:type="dxa" w:w="10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BPJS, Asuransi Jiwa Karyawan, BPJamsostek</w:t>
            </w:r>
          </w:p>
        </w:tc>
        <w:tc>
          <w:tcPr>
            <w:tcW w:type="dxa" w:w="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Selama aktif + 5 tahun</w:t>
            </w:r>
          </w:p>
        </w:tc>
        <w:tc>
          <w:tcPr>
            <w:tcW w:type="dxa" w:w="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Transfer data ke reasuradur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 Reinsurance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1: Data kesehatan, riwayat klaim; Kelas 2: Data polis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Pengelolaan risiko reasuransi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Kontrak</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Reasuradur domestik &amp; internasional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Sesuai perjanjian reasuransi</w:t>
            </w:r>
          </w:p>
        </w:tc>
        <w:tc>
          <w:tcPr>
            <w:tcW w:type="dxa" w:w="538"/>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r>
        <w:tc>
          <w:tcPr>
            <w:tcW w:type="dxa" w:w="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12</w:t>
            </w:r>
          </w:p>
        </w:tc>
        <w:tc>
          <w:tcPr>
            <w:tcW w:type="dxa" w:w="2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Pemrosesan data dalam investigasi klaim fraud</w:t>
            </w:r>
          </w:p>
        </w:tc>
        <w:tc>
          <w:tcPr>
            <w:tcW w:type="dxa" w:w="14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Operation — Claim Adjudication</w:t>
            </w:r>
          </w:p>
        </w:tc>
        <w:tc>
          <w:tcPr>
            <w:tcW w:type="dxa" w:w="16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Kelas 1: Data kesehatan, data medis; Kelas 2: Data klaim, identitas</w:t>
            </w:r>
          </w:p>
        </w:tc>
        <w:tc>
          <w:tcPr>
            <w:tcW w:type="dxa" w:w="15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Deteksi &amp; investigasi fraud klaim</w:t>
            </w:r>
          </w:p>
        </w:tc>
        <w:tc>
          <w:tcPr>
            <w:tcW w:type="dxa" w:w="12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Kepentingan Hukum, Kontrak</w:t>
            </w:r>
          </w:p>
        </w:tc>
        <w:tc>
          <w:tcPr>
            <w:tcW w:type="dxa" w:w="10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Investigator independen, dokter konsultan</w:t>
            </w:r>
          </w:p>
        </w:tc>
        <w:tc>
          <w:tcPr>
            <w:tcW w:type="dxa" w:w="800"/>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10 tahun</w:t>
            </w:r>
          </w:p>
        </w:tc>
        <w:tc>
          <w:tcPr>
            <w:tcW w:type="dxa" w:w="538"/>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Tinggi</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4. Transfer Data Internasional</w:t>
      </w:r>
    </w:p>
    <w:p>
      <w:pPr>
        <w:spacing w:before="60" w:after="60"/>
      </w:pPr>
      <w:r>
        <w:rPr>
          <w:rFonts w:ascii="Arial" w:cs="Arial" w:eastAsia="Arial" w:hAnsi="Arial"/>
          <w:color w:val="404040"/>
          <w:sz w:val="20"/>
          <w:szCs w:val="20"/>
        </w:rPr>
        <w:t xml:space="preserve">Berikut adalah aktivitas pemrosesan yang melibatkan transfer data ke luar wilayah Indonesia: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Aktivitas</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Penerima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Negara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Mekanisme Perlindungan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Transfer data ke reasuradur internasional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Reasuradur internasional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Swiss Re (Swiss), Munich Re (Jerman)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Standard Contractual Clauses (SCC) dalam perjanjian reasuransi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Penggunaan layanan cloud internasional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Cloud Service Provider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Sesuai data residency policy</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residency di Indonesia; DPA dengan CSP wajib</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Vendor e-KYC / biometrik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Vendor teknologi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Sesuai kebijakan vendor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DPA + review data residency wajib</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5.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Data Management</w:t>
            </w:r>
          </w:p>
          <w:p>
            <w:pPr>
              <w:jc w:val="center"/>
            </w:pPr>
            <w:r>
              <w:rPr>
                <w:rFonts w:ascii="Arial" w:cs="Arial" w:eastAsia="Arial" w:hAnsi="Arial"/>
                <w:color w:val="666666"/>
                <w:sz w:val="18"/>
                <w:szCs w:val="18"/>
              </w:rPr>
              <w:t xml:space="preserve">Technology &amp; Information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Risk Management</w:t>
            </w:r>
          </w:p>
          <w:p>
            <w:pPr>
              <w:jc w:val="center"/>
            </w:pPr>
            <w:r>
              <w:rPr>
                <w:rFonts w:ascii="Arial" w:cs="Arial" w:eastAsia="Arial" w:hAnsi="Arial"/>
                <w:color w:val="666666"/>
                <w:sz w:val="18"/>
                <w:szCs w:val="18"/>
              </w:rPr>
              <w:t xml:space="preserve">Compliance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Inventarisasi Data Pribadi — Records of Processing Activities (RoPA)</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ELI-PDPISO27701-005</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2026-03-21T16:38:05.879Z</dcterms:created>
  <dcterms:modified xsi:type="dcterms:W3CDTF">2026-03-21T16:38:05.879Z</dcterms:modified>
</cp:coreProperties>
</file>

<file path=docProps/custom.xml><?xml version="1.0" encoding="utf-8"?>
<Properties xmlns="http://schemas.openxmlformats.org/officeDocument/2006/custom-properties" xmlns:vt="http://schemas.openxmlformats.org/officeDocument/2006/docPropsVTypes"/>
</file>