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6B" w:sz="60" w:space="0"/>
        </w:pBdr>
        <w:shd w:fill="1A3C6B" w:val="clear"/>
        <w:spacing w:before="0" w:after="0"/>
      </w:pPr>
      <w:r>
        <w:rPr>
          <w:sz w:val="60"/>
          <w:szCs w:val="60"/>
        </w:rPr>
        <w:t xml:space="preserve"/>
      </w:r>
    </w:p>
    <w:p>
      <w:pPr>
        <w:spacing w:before="560" w:after="0"/>
      </w:pPr>
      <w:r>
        <w:t xml:space="preserve"/>
      </w:r>
    </w:p>
    <w:p>
      <w:pPr>
        <w:spacing w:before="0" w:after="80"/>
        <w:jc w:val="center"/>
      </w:pPr>
      <w:r>
        <w:rPr>
          <w:rFonts w:ascii="Arial" w:cs="Arial" w:eastAsia="Arial" w:hAnsi="Arial"/>
          <w:b/>
          <w:bCs/>
          <w:color w:val="1A3C6B"/>
          <w:sz w:val="28"/>
          <w:szCs w:val="28"/>
        </w:rPr>
        <w:t xml:space="preserve">PT Equity Life Indonesia</w:t>
      </w:r>
    </w:p>
    <w:p>
      <w:pPr>
        <w:spacing w:before="0" w:after="400"/>
        <w:jc w:val="center"/>
      </w:pPr>
      <w:r>
        <w:rPr>
          <w:rFonts w:ascii="Arial" w:cs="Arial" w:eastAsia="Arial" w:hAnsi="Arial"/>
          <w:color w:val="666666"/>
          <w:sz w:val="22"/>
          <w:szCs w:val="22"/>
        </w:rPr>
        <w:t xml:space="preserve">Technology &amp; Information Directorate</w:t>
      </w:r>
    </w:p>
    <w:p>
      <w:pPr>
        <w:spacing w:before="200" w:after="0"/>
      </w:pPr>
      <w:r>
        <w:t xml:space="preserve"/>
      </w:r>
    </w:p>
    <w:p>
      <w:pPr>
        <w:spacing w:before="0" w:after="120"/>
        <w:jc w:val="center"/>
      </w:pPr>
      <w:r>
        <w:rPr>
          <w:rFonts w:ascii="Arial" w:cs="Arial" w:eastAsia="Arial" w:hAnsi="Arial"/>
          <w:b/>
          <w:bCs/>
          <w:color w:val="C8A84B"/>
          <w:sz w:val="22"/>
          <w:szCs w:val="22"/>
        </w:rPr>
        <w:t xml:space="preserve">PROSEDUR OPERASIONAL</w:t>
      </w:r>
    </w:p>
    <w:p>
      <w:pPr>
        <w:pBdr>
          <w:top w:val="single" w:color="C8A84B" w:sz="4" w:space="4"/>
          <w:bottom w:val="single" w:color="C8A84B" w:sz="4" w:space="4"/>
        </w:pBdr>
        <w:spacing w:before="0" w:after="240"/>
        <w:jc w:val="center"/>
      </w:pPr>
      <w:r>
        <w:rPr>
          <w:rFonts w:ascii="Arial" w:cs="Arial" w:eastAsia="Arial" w:hAnsi="Arial"/>
          <w:b/>
          <w:bCs/>
          <w:color w:val="1A3C6B"/>
          <w:sz w:val="38"/>
          <w:szCs w:val="38"/>
        </w:rPr>
        <w:t xml:space="preserve">Prosedur Data Protection Impact Assessment (DPIA)</w:t>
      </w:r>
    </w:p>
    <w:p>
      <w:pPr>
        <w:spacing w:before="400" w:after="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Kode Dokumen</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ELI-PDPISO27701-016</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Versi</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Versi 1.0</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Tanggal Berlaku</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Maret 2026</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Klasifikasi</w:t>
            </w:r>
          </w:p>
        </w:tc>
        <w:tc>
          <w:tcPr>
            <w:tcW w:type="dxa" w:w="3600"/>
            <w:tcBorders>
              <w:top w:val="none" w:color="FFFFFF" w:sz="0"/>
              <w:left w:val="none" w:color="FFFFFF" w:sz="0"/>
              <w:bottom w:val="none" w:color="FFFFFF" w:sz="0"/>
              <w:right w:val="none" w:color="FFFFFF" w:sz="0"/>
            </w:tcBorders>
          </w:tcPr>
          <w:p>
            <w:r>
              <w:rPr>
                <w:rFonts w:ascii="Arial" w:cs="Arial" w:eastAsia="Arial" w:hAnsi="Arial"/>
                <w:b w:val="false"/>
                <w:bCs w:val="false"/>
                <w:color w:val="C00000"/>
                <w:sz w:val="20"/>
                <w:szCs w:val="20"/>
              </w:rPr>
              <w:t xml:space="preserve">: RAHASIA — Internal</w:t>
            </w:r>
          </w:p>
        </w:tc>
      </w:tr>
    </w:tbl>
    <w:p>
      <w:pPr>
        <w:spacing w:before="600" w:after="0"/>
      </w:pPr>
      <w:r>
        <w:t xml:space="preserve"/>
      </w:r>
    </w:p>
    <w:p>
      <w:pPr>
        <w:pBdr>
          <w:top w:val="single" w:color="CCCCCC" w:sz="4" w:space="4"/>
        </w:pBdr>
        <w:spacing w:before="0" w:after="0"/>
        <w:jc w:val="center"/>
      </w:pPr>
      <w:r>
        <w:rPr>
          <w:rFonts w:ascii="Arial" w:cs="Arial" w:eastAsia="Arial" w:hAnsi="Arial"/>
          <w:i/>
          <w:iCs/>
          <w:color w:val="666666"/>
          <w:sz w:val="16"/>
          <w:szCs w:val="16"/>
        </w:rPr>
        <w:t xml:space="preserve">© 2026 PT Equity Life Indonesia. Dokumen ini bersifat rahasia dan hanya untuk penggunaan internal.</w:t>
      </w:r>
    </w:p>
    <w:p>
      <w:r>
        <w:br w:type="page"/>
      </w:r>
    </w:p>
    <w:p>
      <w:pPr>
        <w:pStyle w:val="Heading1"/>
        <w:pBdr>
          <w:bottom w:val="single" w:color="1A3C6B" w:sz="8" w:space="4"/>
        </w:pBdr>
        <w:spacing w:before="280" w:after="140"/>
      </w:pPr>
      <w:r>
        <w:rPr>
          <w:rFonts w:ascii="Arial" w:cs="Arial" w:eastAsia="Arial" w:hAnsi="Arial"/>
          <w:b/>
          <w:bCs/>
          <w:color w:val="1A3C6B"/>
          <w:sz w:val="32"/>
          <w:szCs w:val="32"/>
        </w:rPr>
        <w:t xml:space="preserve">1. Tujuan dan Dasar Hukum</w:t>
      </w:r>
    </w:p>
    <w:p>
      <w:pPr>
        <w:spacing w:before="60" w:after="60"/>
      </w:pPr>
      <w:r>
        <w:rPr>
          <w:rFonts w:ascii="Arial" w:cs="Arial" w:eastAsia="Arial" w:hAnsi="Arial"/>
          <w:color w:val="404040"/>
          <w:sz w:val="20"/>
          <w:szCs w:val="20"/>
        </w:rPr>
        <w:t xml:space="preserve">Prosedur ini menetapkan kerangka kerja, kriteria wajib, langkah-langkah pelaksanaan, dan tanggung jawab dalam melaksanakan Data Protection Impact Assessment (DPIA) di PT Equity Life Indonesia. DPIA adalah proses sistematis untuk mengidentifikasi, menilai, dan memitigasi risiko privasi sebelum memulai aktivitas pemrosesan data pribadi yang berpotensi menimbulkan risiko tinggi terhadap hak dan kebebasan subjek data.</w:t>
      </w:r>
    </w:p>
    <w:p>
      <w:pPr>
        <w:spacing w:before="60" w:after="60"/>
      </w:pPr>
      <w:r>
        <w:rPr>
          <w:rFonts w:ascii="Arial" w:cs="Arial" w:eastAsia="Arial" w:hAnsi="Arial"/>
          <w:color w:val="404040"/>
          <w:sz w:val="20"/>
          <w:szCs w:val="20"/>
        </w:rPr>
        <w:t xml:space="preserve">Dasar hukum: UU PDP Pasal 34 (kewajiban DPIA untuk pemrosesan berisiko tinggi), ISO 27701:2019 Annex A.7.4.1, dan kebijakan privasi internal PT Equity Life Indonesia.</w:t>
      </w:r>
    </w:p>
    <w:p>
      <w:pPr>
        <w:pStyle w:val="Heading1"/>
        <w:pBdr>
          <w:bottom w:val="single" w:color="1A3C6B" w:sz="8" w:space="4"/>
        </w:pBdr>
        <w:spacing w:before="280" w:after="140"/>
      </w:pPr>
      <w:r>
        <w:rPr>
          <w:rFonts w:ascii="Arial" w:cs="Arial" w:eastAsia="Arial" w:hAnsi="Arial"/>
          <w:b/>
          <w:bCs/>
          <w:color w:val="1A3C6B"/>
          <w:sz w:val="32"/>
          <w:szCs w:val="32"/>
        </w:rPr>
        <w:t xml:space="preserve">2. Kriteria Wajib DPIA</w:t>
      </w:r>
    </w:p>
    <w:p>
      <w:pPr>
        <w:spacing w:before="60" w:after="60"/>
      </w:pPr>
      <w:r>
        <w:rPr>
          <w:rFonts w:ascii="Arial" w:cs="Arial" w:eastAsia="Arial" w:hAnsi="Arial"/>
          <w:color w:val="404040"/>
          <w:sz w:val="20"/>
          <w:szCs w:val="20"/>
        </w:rPr>
        <w:t xml:space="preserve">DPIA wajib dilaksanakan sebelum dimulainya aktivitas pemrosesan jika memenuhi SATU atau lebih kriteria berikut: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6500"/>
        <w:gridCol w:w="2638"/>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Kriteria Pemicu DPIA</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Contoh di ELI</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1</w:t>
            </w:r>
          </w:p>
        </w:tc>
        <w:tc>
          <w:tcPr>
            <w:tcW w:type="dxa" w:w="6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Pemrosesan data kesehatan atau data biometrik dalam skala besar</w:t>
            </w:r>
          </w:p>
        </w:tc>
        <w:tc>
          <w:tcPr>
            <w:tcW w:type="dxa" w:w="26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Sistem klaim rawat inap massal, e-KYC biometrik nasabah baru</w:t>
            </w:r>
          </w:p>
        </w:tc>
      </w:tr>
      <w:tr>
        <w:tc>
          <w:tcPr>
            <w:tcW w:type="dxa" w:w="5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2</w:t>
            </w:r>
          </w:p>
        </w:tc>
        <w:tc>
          <w:tcPr>
            <w:tcW w:type="dxa" w:w="65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Pembuatan profil nasabah secara sistematis yang menghasilkan keputusan otomatis</w:t>
            </w:r>
          </w:p>
        </w:tc>
        <w:tc>
          <w:tcPr>
            <w:tcW w:type="dxa" w:w="26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Scoring risiko underwriting berbasis AI/ML, sistem deteksi fraud otomatis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3</w:t>
            </w:r>
          </w:p>
        </w:tc>
        <w:tc>
          <w:tcPr>
            <w:tcW w:type="dxa" w:w="6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Pemantauan subjek data secara sistematis dalam area publik atau digital</w:t>
            </w:r>
          </w:p>
        </w:tc>
        <w:tc>
          <w:tcPr>
            <w:tcW w:type="dxa" w:w="26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Pelacakan perilaku browsing di aplikasi untuk personalisasi produk</w:t>
            </w:r>
          </w:p>
        </w:tc>
      </w:tr>
      <w:tr>
        <w:tc>
          <w:tcPr>
            <w:tcW w:type="dxa" w:w="5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4</w:t>
            </w:r>
          </w:p>
        </w:tc>
        <w:tc>
          <w:tcPr>
            <w:tcW w:type="dxa" w:w="65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Pemrosesan data pribadi anak di bawah 17 tahun</w:t>
            </w:r>
          </w:p>
        </w:tc>
        <w:tc>
          <w:tcPr>
            <w:tcW w:type="dxa" w:w="26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Produk asuransi jiwa beasiswa atau produk yang melibatkan tertanggung anak</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5</w:t>
            </w:r>
          </w:p>
        </w:tc>
        <w:tc>
          <w:tcPr>
            <w:tcW w:type="dxa" w:w="6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Penggunaan teknologi baru atau inovatif dalam pemrosesan data pribadi</w:t>
            </w:r>
          </w:p>
        </w:tc>
        <w:tc>
          <w:tcPr>
            <w:tcW w:type="dxa" w:w="26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Integrasi AI fraud detection, penggunaan cloud AI/ML baru, onboarding biometrik baru</w:t>
            </w:r>
          </w:p>
        </w:tc>
      </w:tr>
      <w:tr>
        <w:tc>
          <w:tcPr>
            <w:tcW w:type="dxa" w:w="5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6</w:t>
            </w:r>
          </w:p>
        </w:tc>
        <w:tc>
          <w:tcPr>
            <w:tcW w:type="dxa" w:w="65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Transfer data pribadi ke luar Indonesia kepada penerima baru</w:t>
            </w:r>
          </w:p>
        </w:tc>
        <w:tc>
          <w:tcPr>
            <w:tcW w:type="dxa" w:w="26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Reasuradur internasional baru, cloud provider baru di luar negeri</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7</w:t>
            </w:r>
          </w:p>
        </w:tc>
        <w:tc>
          <w:tcPr>
            <w:tcW w:type="dxa" w:w="6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Penggunaan vendor/prosesor baru yang menangani data Kelas 1 atau Kelas 2</w:t>
            </w:r>
          </w:p>
        </w:tc>
        <w:tc>
          <w:tcPr>
            <w:tcW w:type="dxa" w:w="26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Vendor e-KYC baru, sistem klaim berbasis SaaS baru</w:t>
            </w:r>
          </w:p>
        </w:tc>
      </w:tr>
      <w:tr>
        <w:tc>
          <w:tcPr>
            <w:tcW w:type="dxa" w:w="5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8</w:t>
            </w:r>
          </w:p>
        </w:tc>
        <w:tc>
          <w:tcPr>
            <w:tcW w:type="dxa" w:w="65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Perubahan signifikan pada sistem yang memproses data pribadi Kelas 1</w:t>
            </w:r>
          </w:p>
        </w:tc>
        <w:tc>
          <w:tcPr>
            <w:tcW w:type="dxa" w:w="26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Migrasi core system, penambahan modul klaim pada sistem yang ada</w:t>
            </w:r>
          </w:p>
        </w:tc>
      </w:tr>
    </w:tbl>
    <w:p>
      <w:pPr>
        <w:spacing w:before="120" w:after="0"/>
      </w:pPr>
      <w:r>
        <w:t xml:space="preserve"/>
      </w:r>
    </w:p>
    <w:p>
      <w:pPr>
        <w:pBdr>
          <w:left w:val="single" w:color="C8A84B" w:sz="16" w:space="8"/>
        </w:pBdr>
        <w:shd w:fill="FFF9E6" w:val="clear"/>
        <w:spacing w:before="80" w:after="80"/>
        <w:ind w:left="360"/>
      </w:pPr>
      <w:r>
        <w:rPr>
          <w:rFonts w:ascii="Arial" w:cs="Arial" w:eastAsia="Arial" w:hAnsi="Arial"/>
          <w:i/>
          <w:iCs/>
          <w:color w:val="404040"/>
          <w:sz w:val="20"/>
          <w:szCs w:val="20"/>
        </w:rPr>
        <w:t xml:space="preserve">Jika tidak yakin apakah aktivitas pemrosesan memerlukan DPIA, konsultasikan dengan DPO. Lebih baik melaksanakan DPIA yang tidak wajib daripada tidak melaksanakan DPIA yang wajib.</w:t>
      </w:r>
    </w:p>
    <w:p>
      <w:pPr>
        <w:pStyle w:val="Heading1"/>
        <w:pBdr>
          <w:bottom w:val="single" w:color="1A3C6B" w:sz="8" w:space="4"/>
        </w:pBdr>
        <w:spacing w:before="280" w:after="140"/>
      </w:pPr>
      <w:r>
        <w:rPr>
          <w:rFonts w:ascii="Arial" w:cs="Arial" w:eastAsia="Arial" w:hAnsi="Arial"/>
          <w:b/>
          <w:bCs/>
          <w:color w:val="1A3C6B"/>
          <w:sz w:val="32"/>
          <w:szCs w:val="32"/>
        </w:rPr>
        <w:t xml:space="preserve">3. Tanggung Jawab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Peran</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Tanggung Jawab dalam DPIA</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Unit Kerja Pemrakarsa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Mengidentifikasi kebutuhan DPIA; menyediakan informasi teknis dan bisnis; melaksanakan rekomendasi mitigasi yang disepakati</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DPO / Privacy Officer</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Memberikan panduan dan metodologi DPIA; me-review dan mengesahkan hasil DPIA; memantau implementasi tindakan mitigasi</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IT Security &amp; Governance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Melaksanakan penilaian risiko teknis; memberikan rekomendasi kontrol keamanan; memvalidasi efektivitas kontrol yang diterapkan</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Risk Management</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Mengintegrasikan risiko privasi ke dalam kerangka manajemen risiko perusahaan; memberikan skor risiko berdasarkan metodologi yang berlaku</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Legal &amp; Compliance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Me-review aspek legalitas dan kepatuhan regulasi; memastikan tindakan mitigasi sesuai ketentuan hukum</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Direktur Technology &amp; Information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Memberikan persetujuan akhir untuk DPIA yang menunjukkan risiko tinggi residual</w:t>
            </w:r>
          </w:p>
        </w:tc>
      </w:tr>
    </w:tbl>
    <w:p>
      <w:pPr>
        <w:pStyle w:val="Heading1"/>
        <w:pBdr>
          <w:bottom w:val="single" w:color="1A3C6B" w:sz="8" w:space="4"/>
        </w:pBdr>
        <w:spacing w:before="280" w:after="140"/>
      </w:pPr>
      <w:r>
        <w:rPr>
          <w:rFonts w:ascii="Arial" w:cs="Arial" w:eastAsia="Arial" w:hAnsi="Arial"/>
          <w:b/>
          <w:bCs/>
          <w:color w:val="1A3C6B"/>
          <w:sz w:val="32"/>
          <w:szCs w:val="32"/>
        </w:rPr>
        <w:t xml:space="preserve">4. Tahapan Pelaksanaan DPIA</w:t>
      </w:r>
    </w:p>
    <w:p>
      <w:pPr>
        <w:pStyle w:val="Heading2"/>
        <w:spacing w:before="220" w:after="100"/>
      </w:pPr>
      <w:r>
        <w:rPr>
          <w:rFonts w:ascii="Arial" w:cs="Arial" w:eastAsia="Arial" w:hAnsi="Arial"/>
          <w:b/>
          <w:bCs/>
          <w:color w:val="2563A8"/>
          <w:sz w:val="26"/>
          <w:szCs w:val="26"/>
        </w:rPr>
        <w:t xml:space="preserve">Tahap 1 — Skrining (Pre-Screening)</w:t>
      </w:r>
    </w:p>
    <w:p>
      <w:pPr>
        <w:spacing w:before="60" w:after="60"/>
      </w:pPr>
      <w:r>
        <w:rPr>
          <w:rFonts w:ascii="Arial" w:cs="Arial" w:eastAsia="Arial" w:hAnsi="Arial"/>
          <w:color w:val="404040"/>
          <w:sz w:val="20"/>
          <w:szCs w:val="20"/>
        </w:rPr>
        <w:t xml:space="preserve">Sebelum memulai proses DPIA penuh, unit kerja pemrakarsa mengisi Formulir Skrining DPIA (Lampiran 1) untuk menentukan apakah DPIA wajib, direkomendasikan, atau tidak diperlukan. Formulir dikirim kepada DPO untuk validasi. Waktu: 1–2 hari kerja.</w:t>
      </w:r>
    </w:p>
    <w:p>
      <w:pPr>
        <w:pStyle w:val="Heading2"/>
        <w:spacing w:before="220" w:after="100"/>
      </w:pPr>
      <w:r>
        <w:rPr>
          <w:rFonts w:ascii="Arial" w:cs="Arial" w:eastAsia="Arial" w:hAnsi="Arial"/>
          <w:b/>
          <w:bCs/>
          <w:color w:val="2563A8"/>
          <w:sz w:val="26"/>
          <w:szCs w:val="26"/>
        </w:rPr>
        <w:t xml:space="preserve">Tahap 2 — Identifikasi &amp; Deskripsi Pemrosesan</w:t>
      </w:r>
    </w:p>
    <w:p>
      <w:pPr>
        <w:spacing w:before="60" w:after="60"/>
      </w:pPr>
      <w:r>
        <w:rPr>
          <w:rFonts w:ascii="Arial" w:cs="Arial" w:eastAsia="Arial" w:hAnsi="Arial"/>
          <w:color w:val="404040"/>
          <w:sz w:val="20"/>
          <w:szCs w:val="20"/>
        </w:rPr>
        <w:t xml:space="preserve">Dokumentasikan secara lengkap aktivitas pemrosesan yang akan dilakukan:</w:t>
      </w:r>
    </w:p>
    <w:p>
      <w:pPr>
        <w:pStyle w:val="ListParagraph"/>
        <w:numPr>
          <w:ilvl w:val="0"/>
          <w:numId w:val="2"/>
        </w:numPr>
        <w:spacing w:before="40" w:after="40"/>
      </w:pPr>
      <w:r>
        <w:rPr>
          <w:rFonts w:ascii="Arial" w:cs="Arial" w:eastAsia="Arial" w:hAnsi="Arial"/>
          <w:color w:val="404040"/>
          <w:sz w:val="20"/>
          <w:szCs w:val="20"/>
        </w:rPr>
        <w:t xml:space="preserve">Tujuan dan dasar hukum pemrosesan</w:t>
      </w:r>
    </w:p>
    <w:p>
      <w:pPr>
        <w:pStyle w:val="ListParagraph"/>
        <w:numPr>
          <w:ilvl w:val="0"/>
          <w:numId w:val="2"/>
        </w:numPr>
        <w:spacing w:before="40" w:after="40"/>
      </w:pPr>
      <w:r>
        <w:rPr>
          <w:rFonts w:ascii="Arial" w:cs="Arial" w:eastAsia="Arial" w:hAnsi="Arial"/>
          <w:color w:val="404040"/>
          <w:sz w:val="20"/>
          <w:szCs w:val="20"/>
        </w:rPr>
        <w:t xml:space="preserve">Kategori dan volume data pribadi yang akan diproses</w:t>
      </w:r>
    </w:p>
    <w:p>
      <w:pPr>
        <w:pStyle w:val="ListParagraph"/>
        <w:numPr>
          <w:ilvl w:val="0"/>
          <w:numId w:val="2"/>
        </w:numPr>
        <w:spacing w:before="40" w:after="40"/>
      </w:pPr>
      <w:r>
        <w:rPr>
          <w:rFonts w:ascii="Arial" w:cs="Arial" w:eastAsia="Arial" w:hAnsi="Arial"/>
          <w:color w:val="404040"/>
          <w:sz w:val="20"/>
          <w:szCs w:val="20"/>
        </w:rPr>
        <w:t xml:space="preserve">Identitas pengendali, prosesor, dan penerima data</w:t>
      </w:r>
    </w:p>
    <w:p>
      <w:pPr>
        <w:pStyle w:val="ListParagraph"/>
        <w:numPr>
          <w:ilvl w:val="0"/>
          <w:numId w:val="2"/>
        </w:numPr>
        <w:spacing w:before="40" w:after="40"/>
      </w:pPr>
      <w:r>
        <w:rPr>
          <w:rFonts w:ascii="Arial" w:cs="Arial" w:eastAsia="Arial" w:hAnsi="Arial"/>
          <w:color w:val="404040"/>
          <w:sz w:val="20"/>
          <w:szCs w:val="20"/>
        </w:rPr>
        <w:t xml:space="preserve">Aliran data (data flow diagram) dari pengumpulan hingga penghapusan</w:t>
      </w:r>
    </w:p>
    <w:p>
      <w:pPr>
        <w:pStyle w:val="ListParagraph"/>
        <w:numPr>
          <w:ilvl w:val="0"/>
          <w:numId w:val="2"/>
        </w:numPr>
        <w:spacing w:before="40" w:after="40"/>
      </w:pPr>
      <w:r>
        <w:rPr>
          <w:rFonts w:ascii="Arial" w:cs="Arial" w:eastAsia="Arial" w:hAnsi="Arial"/>
          <w:color w:val="404040"/>
          <w:sz w:val="20"/>
          <w:szCs w:val="20"/>
        </w:rPr>
        <w:t xml:space="preserve">Periode retensi yang direncanakan</w:t>
      </w:r>
    </w:p>
    <w:p>
      <w:pPr>
        <w:pStyle w:val="ListParagraph"/>
        <w:numPr>
          <w:ilvl w:val="0"/>
          <w:numId w:val="2"/>
        </w:numPr>
        <w:spacing w:before="40" w:after="40"/>
      </w:pPr>
      <w:r>
        <w:rPr>
          <w:rFonts w:ascii="Arial" w:cs="Arial" w:eastAsia="Arial" w:hAnsi="Arial"/>
          <w:color w:val="404040"/>
          <w:sz w:val="20"/>
          <w:szCs w:val="20"/>
        </w:rPr>
        <w:t xml:space="preserve">Teknologi dan sistem yang akan digunakan</w:t>
      </w:r>
    </w:p>
    <w:p>
      <w:pPr>
        <w:pStyle w:val="Heading2"/>
        <w:spacing w:before="220" w:after="100"/>
      </w:pPr>
      <w:r>
        <w:rPr>
          <w:rFonts w:ascii="Arial" w:cs="Arial" w:eastAsia="Arial" w:hAnsi="Arial"/>
          <w:b/>
          <w:bCs/>
          <w:color w:val="2563A8"/>
          <w:sz w:val="26"/>
          <w:szCs w:val="26"/>
        </w:rPr>
        <w:t xml:space="preserve">Tahap 3 — Penilaian Kebutuhan &amp; Proporsionalitas</w:t>
      </w:r>
    </w:p>
    <w:p>
      <w:pPr>
        <w:spacing w:before="60" w:after="60"/>
      </w:pPr>
      <w:r>
        <w:rPr>
          <w:rFonts w:ascii="Arial" w:cs="Arial" w:eastAsia="Arial" w:hAnsi="Arial"/>
          <w:color w:val="404040"/>
          <w:sz w:val="20"/>
          <w:szCs w:val="20"/>
        </w:rPr>
        <w:t xml:space="preserve">Evaluasi apakah pemrosesan yang direncanakan:</w:t>
      </w:r>
    </w:p>
    <w:p>
      <w:pPr>
        <w:pStyle w:val="ListParagraph"/>
        <w:numPr>
          <w:ilvl w:val="0"/>
          <w:numId w:val="2"/>
        </w:numPr>
        <w:spacing w:before="40" w:after="40"/>
      </w:pPr>
      <w:r>
        <w:rPr>
          <w:rFonts w:ascii="Arial" w:cs="Arial" w:eastAsia="Arial" w:hAnsi="Arial"/>
          <w:color w:val="404040"/>
          <w:sz w:val="20"/>
          <w:szCs w:val="20"/>
        </w:rPr>
        <w:t xml:space="preserve">Diperlukan dan proporsional terhadap tujuan yang ingin dicapai</w:t>
      </w:r>
    </w:p>
    <w:p>
      <w:pPr>
        <w:pStyle w:val="ListParagraph"/>
        <w:numPr>
          <w:ilvl w:val="0"/>
          <w:numId w:val="2"/>
        </w:numPr>
        <w:spacing w:before="40" w:after="40"/>
      </w:pPr>
      <w:r>
        <w:rPr>
          <w:rFonts w:ascii="Arial" w:cs="Arial" w:eastAsia="Arial" w:hAnsi="Arial"/>
          <w:color w:val="404040"/>
          <w:sz w:val="20"/>
          <w:szCs w:val="20"/>
        </w:rPr>
        <w:t xml:space="preserve">Mematuhi prinsip minimisasi data — tidak mengumpulkan data yang berlebihan</w:t>
      </w:r>
    </w:p>
    <w:p>
      <w:pPr>
        <w:pStyle w:val="ListParagraph"/>
        <w:numPr>
          <w:ilvl w:val="0"/>
          <w:numId w:val="2"/>
        </w:numPr>
        <w:spacing w:before="40" w:after="40"/>
      </w:pPr>
      <w:r>
        <w:rPr>
          <w:rFonts w:ascii="Arial" w:cs="Arial" w:eastAsia="Arial" w:hAnsi="Arial"/>
          <w:color w:val="404040"/>
          <w:sz w:val="20"/>
          <w:szCs w:val="20"/>
        </w:rPr>
        <w:t xml:space="preserve">Memiliki dasar hukum yang valid untuk setiap kategori data yang diproses</w:t>
      </w:r>
    </w:p>
    <w:p>
      <w:pPr>
        <w:pStyle w:val="ListParagraph"/>
        <w:numPr>
          <w:ilvl w:val="0"/>
          <w:numId w:val="2"/>
        </w:numPr>
        <w:spacing w:before="40" w:after="40"/>
      </w:pPr>
      <w:r>
        <w:rPr>
          <w:rFonts w:ascii="Arial" w:cs="Arial" w:eastAsia="Arial" w:hAnsi="Arial"/>
          <w:color w:val="404040"/>
          <w:sz w:val="20"/>
          <w:szCs w:val="20"/>
        </w:rPr>
        <w:t xml:space="preserve">Menggunakan masa retensi yang tidak melebihi yang diperlukan</w:t>
      </w:r>
    </w:p>
    <w:p>
      <w:pPr>
        <w:pStyle w:val="Heading2"/>
        <w:spacing w:before="220" w:after="100"/>
      </w:pPr>
      <w:r>
        <w:rPr>
          <w:rFonts w:ascii="Arial" w:cs="Arial" w:eastAsia="Arial" w:hAnsi="Arial"/>
          <w:b/>
          <w:bCs/>
          <w:color w:val="2563A8"/>
          <w:sz w:val="26"/>
          <w:szCs w:val="26"/>
        </w:rPr>
        <w:t xml:space="preserve">Tahap 4 — Identifikasi &amp; Penilaian Risiko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gridCol w:w="2138"/>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Kategori Risiko</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Contoh Skenario</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Dampak Potensial</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Metode Penilaian</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Akses tidak terotorisasi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Kebocoran data kesehatan nasabah akibat celah keamanan sistem klaim</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Pelanggaran privasi, kerugian reputasi, sanksi OJK</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Skor risiko = Dampak × Probabilitas</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Penggunaan melampaui tujuan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klaim digunakan untuk profiling pemasaran tanpa consent tambahan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Pelanggaran prinsip purpose limitation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Review terhadap akses dan penggunaan data</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Retensi berlebihan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polis nasabah yang sudah berakhir disimpan tanpa batas waktu</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Pelanggaran storage limitation UU PDP</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Audit terhadap kebijakan retensi dan implementasinya</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Transfer tidak aman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dikirim ke reasuradur tanpa enkripsi yang memadai</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Intersepsi data dalam transit</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Review konfigurasi keamanan transfer</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Keputusan otomatis yang tidak adil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Sistem scoring AI menolak klaim tanpa alasan yang dapat dijelaskan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Diskriminasi, pelanggaran hak subjek data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Audit fairness dan explainability model AI</w:t>
            </w:r>
          </w:p>
        </w:tc>
      </w:tr>
    </w:tbl>
    <w:p>
      <w:pPr>
        <w:pStyle w:val="Heading2"/>
        <w:spacing w:before="220" w:after="100"/>
      </w:pPr>
      <w:r>
        <w:rPr>
          <w:rFonts w:ascii="Arial" w:cs="Arial" w:eastAsia="Arial" w:hAnsi="Arial"/>
          <w:b/>
          <w:bCs/>
          <w:color w:val="2563A8"/>
          <w:sz w:val="26"/>
          <w:szCs w:val="26"/>
        </w:rPr>
        <w:t xml:space="preserve">Tahap 5 — Identifikasi Tindakan Mitigasi</w:t>
      </w:r>
    </w:p>
    <w:p>
      <w:pPr>
        <w:spacing w:before="60" w:after="60"/>
      </w:pPr>
      <w:r>
        <w:rPr>
          <w:rFonts w:ascii="Arial" w:cs="Arial" w:eastAsia="Arial" w:hAnsi="Arial"/>
          <w:color w:val="404040"/>
          <w:sz w:val="20"/>
          <w:szCs w:val="20"/>
        </w:rPr>
        <w:t xml:space="preserve">Untuk setiap risiko yang teridentifikasi, tentukan tindakan mitigasi yang proporsional:</w:t>
      </w:r>
    </w:p>
    <w:p>
      <w:pPr>
        <w:pStyle w:val="ListParagraph"/>
        <w:numPr>
          <w:ilvl w:val="0"/>
          <w:numId w:val="2"/>
        </w:numPr>
        <w:spacing w:before="40" w:after="40"/>
      </w:pPr>
      <w:r>
        <w:rPr>
          <w:rFonts w:ascii="Arial" w:cs="Arial" w:eastAsia="Arial" w:hAnsi="Arial"/>
          <w:color w:val="404040"/>
          <w:sz w:val="20"/>
          <w:szCs w:val="20"/>
        </w:rPr>
        <w:t xml:space="preserve">Kontrol teknis: enkripsi, pseudonimisasi, pembatasan akses, audit log</w:t>
      </w:r>
    </w:p>
    <w:p>
      <w:pPr>
        <w:pStyle w:val="ListParagraph"/>
        <w:numPr>
          <w:ilvl w:val="0"/>
          <w:numId w:val="2"/>
        </w:numPr>
        <w:spacing w:before="40" w:after="40"/>
      </w:pPr>
      <w:r>
        <w:rPr>
          <w:rFonts w:ascii="Arial" w:cs="Arial" w:eastAsia="Arial" w:hAnsi="Arial"/>
          <w:color w:val="404040"/>
          <w:sz w:val="20"/>
          <w:szCs w:val="20"/>
        </w:rPr>
        <w:t xml:space="preserve">Kontrol organisasi: kebijakan, prosedur, pelatihan, perjanjian prosesor</w:t>
      </w:r>
    </w:p>
    <w:p>
      <w:pPr>
        <w:pStyle w:val="ListParagraph"/>
        <w:numPr>
          <w:ilvl w:val="0"/>
          <w:numId w:val="2"/>
        </w:numPr>
        <w:spacing w:before="40" w:after="40"/>
      </w:pPr>
      <w:r>
        <w:rPr>
          <w:rFonts w:ascii="Arial" w:cs="Arial" w:eastAsia="Arial" w:hAnsi="Arial"/>
          <w:color w:val="404040"/>
          <w:sz w:val="20"/>
          <w:szCs w:val="20"/>
        </w:rPr>
        <w:t xml:space="preserve">Perubahan desain: minimisasi data, privacy by design, anonimisasi</w:t>
      </w:r>
    </w:p>
    <w:p>
      <w:pPr>
        <w:pStyle w:val="ListParagraph"/>
        <w:numPr>
          <w:ilvl w:val="0"/>
          <w:numId w:val="2"/>
        </w:numPr>
        <w:spacing w:before="40" w:after="40"/>
      </w:pPr>
      <w:r>
        <w:rPr>
          <w:rFonts w:ascii="Arial" w:cs="Arial" w:eastAsia="Arial" w:hAnsi="Arial"/>
          <w:color w:val="404040"/>
          <w:sz w:val="20"/>
          <w:szCs w:val="20"/>
        </w:rPr>
        <w:t xml:space="preserve">Kontrol kontraktual: klausul DPA yang memadai dengan prosesor</w:t>
      </w:r>
    </w:p>
    <w:p>
      <w:pPr>
        <w:pStyle w:val="Heading2"/>
        <w:spacing w:before="220" w:after="100"/>
      </w:pPr>
      <w:r>
        <w:rPr>
          <w:rFonts w:ascii="Arial" w:cs="Arial" w:eastAsia="Arial" w:hAnsi="Arial"/>
          <w:b/>
          <w:bCs/>
          <w:color w:val="2563A8"/>
          <w:sz w:val="26"/>
          <w:szCs w:val="26"/>
        </w:rPr>
        <w:t xml:space="preserve">Tahap 6 — Penilaian Risiko Residual &amp; Keputusan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138"/>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Tingkat Risiko Residual</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Keputusan</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Tindakan Selanjutnya</w:t>
            </w:r>
          </w:p>
        </w:tc>
      </w:tr>
      <w:tr>
        <w:tc>
          <w:tcPr>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Rendah (skor ≤ 6)</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Dapat dilanjutkan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Dokumentasikan DPIA dan lanjutkan implementasi</w:t>
            </w:r>
          </w:p>
        </w:tc>
      </w:tr>
      <w:tr>
        <w:tc>
          <w:tcPr>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Sedang (skor 7–12)</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Dapat dilanjutkan dengan syarat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Implementasikan semua tindakan mitigasi sebelum go-live; review berkala</w:t>
            </w:r>
          </w:p>
        </w:tc>
      </w:tr>
      <w:tr>
        <w:tc>
          <w:tcPr>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Tinggi (skor 13–20)</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Perlu persetujuan Direktur T&amp;I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Eskalasi ke Direktur T&amp;I; pertimbangkan konsultasi OJK</w:t>
            </w:r>
          </w:p>
        </w:tc>
      </w:tr>
      <w:tr>
        <w:tc>
          <w:tcPr>
            <w:tcBorders>
              <w:top w:val="single" w:color="CCCCCC" w:sz="4"/>
              <w:left w:val="single" w:color="CCCCCC" w:sz="4"/>
              <w:bottom w:val="single" w:color="CCCCCC" w:sz="4"/>
              <w:right w:val="single" w:color="CCCCCC" w:sz="4"/>
            </w:tcBorders>
            <w:shd w:fill="FFCCCC"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Sangat Tinggi (skor &gt; 20)</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DITANGGUHKAN — konsultasi OJK wajib</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Hentikan perencanaan; konsultasi wajib dengan OJK sebelum melanjutkan</w:t>
            </w:r>
          </w:p>
        </w:tc>
      </w:tr>
    </w:tbl>
    <w:p>
      <w:pPr>
        <w:pStyle w:val="Heading2"/>
        <w:spacing w:before="220" w:after="100"/>
      </w:pPr>
      <w:r>
        <w:rPr>
          <w:rFonts w:ascii="Arial" w:cs="Arial" w:eastAsia="Arial" w:hAnsi="Arial"/>
          <w:b/>
          <w:bCs/>
          <w:color w:val="2563A8"/>
          <w:sz w:val="26"/>
          <w:szCs w:val="26"/>
        </w:rPr>
        <w:t xml:space="preserve">Tahap 7 — Dokumentasi &amp; Pelaporan</w:t>
      </w:r>
    </w:p>
    <w:p>
      <w:pPr>
        <w:spacing w:before="60" w:after="60"/>
      </w:pPr>
      <w:r>
        <w:rPr>
          <w:rFonts w:ascii="Arial" w:cs="Arial" w:eastAsia="Arial" w:hAnsi="Arial"/>
          <w:color w:val="404040"/>
          <w:sz w:val="20"/>
          <w:szCs w:val="20"/>
        </w:rPr>
        <w:t xml:space="preserve">Laporan DPIA yang lengkap harus mencakup seluruh tahapan di atas dan disimpan dalam sistem manajemen dokumen PT Equity Life Indonesia. Laporan harus tersedia untuk diinspeksi oleh OJK atau auditor eksternal kapan saja.</w:t>
      </w:r>
    </w:p>
    <w:p>
      <w:pPr>
        <w:pStyle w:val="Heading1"/>
        <w:pBdr>
          <w:bottom w:val="single" w:color="1A3C6B" w:sz="8" w:space="4"/>
        </w:pBdr>
        <w:spacing w:before="280" w:after="140"/>
      </w:pPr>
      <w:r>
        <w:rPr>
          <w:rFonts w:ascii="Arial" w:cs="Arial" w:eastAsia="Arial" w:hAnsi="Arial"/>
          <w:b/>
          <w:bCs/>
          <w:color w:val="1A3C6B"/>
          <w:sz w:val="32"/>
          <w:szCs w:val="32"/>
        </w:rPr>
        <w:t xml:space="preserve">5. Pemantauan &amp; Review DPIA</w:t>
      </w:r>
    </w:p>
    <w:p>
      <w:pPr>
        <w:pStyle w:val="ListParagraph"/>
        <w:numPr>
          <w:ilvl w:val="0"/>
          <w:numId w:val="2"/>
        </w:numPr>
        <w:spacing w:before="40" w:after="40"/>
      </w:pPr>
      <w:r>
        <w:rPr>
          <w:rFonts w:ascii="Arial" w:cs="Arial" w:eastAsia="Arial" w:hAnsi="Arial"/>
          <w:color w:val="404040"/>
          <w:sz w:val="20"/>
          <w:szCs w:val="20"/>
        </w:rPr>
        <w:t xml:space="preserve">DPIA harus di-review jika terjadi perubahan signifikan pada sistem, tujuan pemrosesan, atau risiko yang relevan</w:t>
      </w:r>
    </w:p>
    <w:p>
      <w:pPr>
        <w:pStyle w:val="ListParagraph"/>
        <w:numPr>
          <w:ilvl w:val="0"/>
          <w:numId w:val="2"/>
        </w:numPr>
        <w:spacing w:before="40" w:after="40"/>
      </w:pPr>
      <w:r>
        <w:rPr>
          <w:rFonts w:ascii="Arial" w:cs="Arial" w:eastAsia="Arial" w:hAnsi="Arial"/>
          <w:color w:val="404040"/>
          <w:sz w:val="20"/>
          <w:szCs w:val="20"/>
        </w:rPr>
        <w:t xml:space="preserve">Review rutin dilakukan setiap 2 tahun atau lebih cepat jika ada perubahan material</w:t>
      </w:r>
    </w:p>
    <w:p>
      <w:pPr>
        <w:pStyle w:val="ListParagraph"/>
        <w:numPr>
          <w:ilvl w:val="0"/>
          <w:numId w:val="2"/>
        </w:numPr>
        <w:spacing w:before="40" w:after="40"/>
      </w:pPr>
      <w:r>
        <w:rPr>
          <w:rFonts w:ascii="Arial" w:cs="Arial" w:eastAsia="Arial" w:hAnsi="Arial"/>
          <w:color w:val="404040"/>
          <w:sz w:val="20"/>
          <w:szCs w:val="20"/>
        </w:rPr>
        <w:t xml:space="preserve">DPO memelihara register DPIA yang berisi daftar seluruh DPIA yang pernah dilakukan beserta status tindakan mitigasinya</w:t>
      </w:r>
    </w:p>
    <w:p>
      <w:pPr>
        <w:pStyle w:val="ListParagraph"/>
        <w:numPr>
          <w:ilvl w:val="0"/>
          <w:numId w:val="2"/>
        </w:numPr>
        <w:spacing w:before="40" w:after="40"/>
      </w:pPr>
      <w:r>
        <w:rPr>
          <w:rFonts w:ascii="Arial" w:cs="Arial" w:eastAsia="Arial" w:hAnsi="Arial"/>
          <w:color w:val="404040"/>
          <w:sz w:val="20"/>
          <w:szCs w:val="20"/>
        </w:rPr>
        <w:t xml:space="preserve">Temuan DPIA dimasukkan dalam laporan berkala kepada Komite Manajemen Risiko</w:t>
      </w:r>
    </w:p>
    <w:p>
      <w:pPr>
        <w:pStyle w:val="Heading1"/>
        <w:pBdr>
          <w:bottom w:val="single" w:color="1A3C6B" w:sz="8" w:space="4"/>
        </w:pBdr>
        <w:spacing w:before="280" w:after="140"/>
      </w:pPr>
      <w:r>
        <w:rPr>
          <w:rFonts w:ascii="Arial" w:cs="Arial" w:eastAsia="Arial" w:hAnsi="Arial"/>
          <w:b/>
          <w:bCs/>
          <w:color w:val="1A3C6B"/>
          <w:sz w:val="32"/>
          <w:szCs w:val="32"/>
        </w:rPr>
        <w:t xml:space="preserve">6. Lampiran — Formulir Skrining DPIA</w:t>
      </w:r>
    </w:p>
    <w:p>
      <w:pPr>
        <w:pBdr>
          <w:left w:val="single" w:color="1A3C6B" w:sz="16" w:space="8"/>
        </w:pBdr>
        <w:shd w:fill="EEF4FB" w:val="clear"/>
        <w:spacing w:before="80" w:after="80"/>
        <w:ind w:left="360"/>
      </w:pPr>
      <w:r>
        <w:rPr>
          <w:rFonts w:ascii="Arial" w:cs="Arial" w:eastAsia="Arial" w:hAnsi="Arial"/>
          <w:i/>
          <w:iCs/>
          <w:color w:val="404040"/>
          <w:sz w:val="20"/>
          <w:szCs w:val="20"/>
        </w:rPr>
        <w:t xml:space="preserve">Isi formulir ini dan kirimkan kepada DPO (privacy@equitylife.co.id) sebelum memulai aktivitas pemrosesan baru yang berpotensi berisiko tinggi.</w:t>
      </w:r>
    </w:p>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2319"/>
        <w:gridCol w:w="2319"/>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Pertanyaan Skrining</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Ya</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Tidak</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Apakah aktivitas ini memproses data kesehatan atau data biometrik?</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Apakah aktivitas ini melibatkan pembuatan profil atau keputusan otomatis yang berdampak signifikan?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Apakah aktivitas ini memproses data pribadi anak?</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Apakah aktivitas ini menggunakan teknologi baru yang belum pernah digunakan sebelumnya?</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Apakah aktivitas ini melibatkan transfer data ke negara lain atau vendor baru?</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Apakah aktivitas ini memproses data dalam volume besar (&gt;10.000 subjek data)?</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Apakah aktivitas ini melibatkan pemantauan sistematis perilaku subjek data?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Apakah ada perubahan signifikan pada sistem yang saat ini memproses data Kelas 1 atau Kelas 2?</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t>
            </w:r>
          </w:p>
        </w:tc>
      </w:tr>
    </w:tbl>
    <w:p>
      <w:pPr>
        <w:spacing w:before="120" w:after="0"/>
      </w:pPr>
      <w:r>
        <w:t xml:space="preserve"/>
      </w:r>
    </w:p>
    <w:p>
      <w:pPr>
        <w:spacing w:before="60" w:after="60"/>
      </w:pPr>
      <w:r>
        <w:rPr>
          <w:rFonts w:ascii="Arial" w:cs="Arial" w:eastAsia="Arial" w:hAnsi="Arial"/>
          <w:color w:val="404040"/>
          <w:sz w:val="20"/>
          <w:szCs w:val="20"/>
        </w:rPr>
        <w:t xml:space="preserve">Jika menjawab YA pada 1 atau lebih pertanyaan di atas: DPIA wajib dilaksanakan. Hubungi DPO untuk penjadwalan.</w:t>
      </w:r>
    </w:p>
    <w:p>
      <w:pPr>
        <w:pStyle w:val="Heading1"/>
        <w:pBdr>
          <w:bottom w:val="single" w:color="1A3C6B" w:sz="8" w:space="4"/>
        </w:pBdr>
        <w:spacing w:before="280" w:after="140"/>
      </w:pPr>
      <w:r>
        <w:rPr>
          <w:rFonts w:ascii="Arial" w:cs="Arial" w:eastAsia="Arial" w:hAnsi="Arial"/>
          <w:b/>
          <w:bCs/>
          <w:color w:val="1A3C6B"/>
          <w:sz w:val="32"/>
          <w:szCs w:val="32"/>
        </w:rPr>
        <w:t xml:space="preserve">7. Persetujuan Dokumen</w:t>
      </w:r>
    </w:p>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Disusun oleh</w:t>
            </w:r>
          </w:p>
        </w:tc>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Diperiksa oleh</w:t>
            </w:r>
          </w:p>
        </w:tc>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Disetujui oleh</w:t>
            </w:r>
          </w:p>
        </w:tc>
      </w:tr>
      <w:tr>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r>
      <w:tr>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DPO / Privacy Officer</w:t>
            </w:r>
          </w:p>
          <w:p>
            <w:pPr>
              <w:jc w:val="center"/>
            </w:pPr>
            <w:r>
              <w:rPr>
                <w:rFonts w:ascii="Arial" w:cs="Arial" w:eastAsia="Arial" w:hAnsi="Arial"/>
                <w:color w:val="666666"/>
                <w:sz w:val="18"/>
                <w:szCs w:val="18"/>
              </w:rPr>
              <w:t xml:space="preserve">IT Security &amp; Governance</w:t>
            </w:r>
          </w:p>
        </w:tc>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Head of Risk Management</w:t>
            </w:r>
          </w:p>
          <w:p>
            <w:pPr>
              <w:jc w:val="center"/>
            </w:pPr>
            <w:r>
              <w:rPr>
                <w:rFonts w:ascii="Arial" w:cs="Arial" w:eastAsia="Arial" w:hAnsi="Arial"/>
                <w:color w:val="666666"/>
                <w:sz w:val="18"/>
                <w:szCs w:val="18"/>
              </w:rPr>
              <w:t xml:space="preserve">Compliance Directorate</w:t>
            </w:r>
          </w:p>
        </w:tc>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Direktur Technology &amp; Information</w:t>
            </w:r>
          </w:p>
          <w:p>
            <w:pPr>
              <w:jc w:val="center"/>
            </w:pPr>
            <w:r>
              <w:rPr>
                <w:rFonts w:ascii="Arial" w:cs="Arial" w:eastAsia="Arial" w:hAnsi="Arial"/>
                <w:color w:val="666666"/>
                <w:sz w:val="18"/>
                <w:szCs w:val="18"/>
              </w:rPr>
              <w:t xml:space="preserve">PT Equity Life Indonesia</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pPr>
    <w:r>
      <w:rPr>
        <w:rFonts w:ascii="Arial" w:cs="Arial" w:eastAsia="Arial" w:hAnsi="Arial"/>
        <w:color w:val="666666"/>
        <w:sz w:val="16"/>
        <w:szCs w:val="16"/>
      </w:rPr>
      <w:t xml:space="preserve">Rahasia — Internal  |  PT Equity Life Indonesia  |  UU PDP &amp; ISO 27701:2019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4"/>
      <w:gridCol w:w="3373"/>
    </w:tblGrid>
    <w:tr>
      <w:tc>
        <w:tcPr>
          <w:tcW w:type="dxa" w:w="6264"/>
          <w:tcBorders>
            <w:top w:val="none" w:color="FFFFFF" w:sz="0"/>
            <w:left w:val="none" w:color="FFFFFF" w:sz="0"/>
            <w:bottom w:val="single" w:color="1A3C6B" w:sz="6"/>
            <w:right w:val="none" w:color="FFFFFF" w:sz="0"/>
          </w:tcBorders>
        </w:tcPr>
        <w:p>
          <w:r>
            <w:rPr>
              <w:rFonts w:ascii="Arial" w:cs="Arial" w:eastAsia="Arial" w:hAnsi="Arial"/>
              <w:b/>
              <w:bCs/>
              <w:color w:val="1A3C6B"/>
              <w:sz w:val="18"/>
              <w:szCs w:val="18"/>
            </w:rPr>
            <w:t xml:space="preserve">PT Equity Life Indonesia</w:t>
          </w:r>
        </w:p>
        <w:p>
          <w:r>
            <w:rPr>
              <w:rFonts w:ascii="Arial" w:cs="Arial" w:eastAsia="Arial" w:hAnsi="Arial"/>
              <w:color w:val="666666"/>
              <w:sz w:val="16"/>
              <w:szCs w:val="16"/>
            </w:rPr>
            <w:t xml:space="preserve">Prosedur Data Protection Impact Assessment (DPIA)</w:t>
          </w:r>
        </w:p>
      </w:tc>
      <w:tc>
        <w:tcPr>
          <w:tcW w:type="dxa" w:w="3373"/>
          <w:tcBorders>
            <w:top w:val="none" w:color="FFFFFF" w:sz="0"/>
            <w:left w:val="none" w:color="FFFFFF" w:sz="0"/>
            <w:bottom w:val="single" w:color="1A3C6B" w:sz="6"/>
            <w:right w:val="none" w:color="FFFFFF" w:sz="0"/>
          </w:tcBorders>
        </w:tcPr>
        <w:p>
          <w:pPr>
            <w:jc w:val="right"/>
          </w:pPr>
          <w:r>
            <w:rPr>
              <w:rFonts w:ascii="Arial" w:cs="Arial" w:eastAsia="Arial" w:hAnsi="Arial"/>
              <w:color w:val="666666"/>
              <w:sz w:val="16"/>
              <w:szCs w:val="16"/>
            </w:rPr>
            <w:t xml:space="preserve">ELI-PDPISO27701-016</w:t>
          </w:r>
        </w:p>
        <w:p>
          <w:pPr>
            <w:jc w:val="right"/>
          </w:pPr>
          <w:r>
            <w:rPr>
              <w:rFonts w:ascii="Arial" w:cs="Arial" w:eastAsia="Arial" w:hAnsi="Arial"/>
              <w:color w:val="666666"/>
              <w:sz w:val="16"/>
              <w:szCs w:val="16"/>
            </w:rPr>
            <w:t xml:space="preserve">Versi 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A3C6B"/>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563A8"/>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2026-03-21T16:52:24.405Z</dcterms:created>
  <dcterms:modified xsi:type="dcterms:W3CDTF">2026-03-21T16:52:24.405Z</dcterms:modified>
</cp:coreProperties>
</file>

<file path=docProps/custom.xml><?xml version="1.0" encoding="utf-8"?>
<Properties xmlns="http://schemas.openxmlformats.org/officeDocument/2006/custom-properties" xmlns:vt="http://schemas.openxmlformats.org/officeDocument/2006/docPropsVTypes"/>
</file>