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A3C6B" w:sz="60" w:space="0"/>
        </w:pBdr>
        <w:shd w:fill="1A3C6B" w:val="clear"/>
        <w:spacing w:before="0" w:after="0"/>
      </w:pPr>
      <w:r>
        <w:rPr>
          <w:sz w:val="60"/>
          <w:szCs w:val="60"/>
        </w:rPr>
        <w:t xml:space="preserve"/>
      </w:r>
    </w:p>
    <w:p>
      <w:pPr>
        <w:spacing w:before="56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3C6B"/>
          <w:sz w:val="28"/>
          <w:szCs w:val="28"/>
        </w:rPr>
        <w:t xml:space="preserve">PT Equity Life Indonesia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Technology &amp; Information Directorate</w:t>
      </w:r>
    </w:p>
    <w:p>
      <w:pPr>
        <w:spacing w:before="200" w:after="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C8A84B"/>
          <w:sz w:val="22"/>
          <w:szCs w:val="22"/>
        </w:rPr>
        <w:t xml:space="preserve">FRAMEWORK &amp; GOVERNANCE</w:t>
      </w:r>
    </w:p>
    <w:p>
      <w:pPr>
        <w:pBdr>
          <w:top w:val="single" w:color="C8A84B" w:sz="4" w:space="4"/>
          <w:bottom w:val="single" w:color="C8A84B" w:sz="4" w:space="4"/>
        </w:pBdr>
        <w:spacing w:before="0" w:after="240"/>
        <w:jc w:val="center"/>
      </w:pPr>
      <w:r>
        <w:rPr>
          <w:rFonts w:ascii="Arial" w:cs="Arial" w:eastAsia="Arial" w:hAnsi="Arial"/>
          <w:b/>
          <w:bCs/>
          <w:color w:val="1A3C6B"/>
          <w:sz w:val="38"/>
          <w:szCs w:val="38"/>
        </w:rPr>
        <w:t xml:space="preserve">Dokumentasi Akuntabilitas &amp; Bukti Kepatuhan Privasi</w:t>
      </w:r>
    </w:p>
    <w:p>
      <w:pPr>
        <w:spacing w:before="400" w:after="0"/>
      </w:pPr>
      <w:r>
        <w:t xml:space="preserve"/>
      </w:r>
    </w:p>
    <w:tbl>
      <w:tblPr>
        <w:tblW w:type="dxa" w:w="5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</w:tblGrid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Kode Dokumen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: ELI-PDPISO27701-028</w:t>
            </w:r>
          </w:p>
        </w:tc>
      </w:tr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Versi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: Versi 1.0</w:t>
            </w:r>
          </w:p>
        </w:tc>
      </w:tr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Tanggal Berlaku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: Maret 2026</w:t>
            </w:r>
          </w:p>
        </w:tc>
      </w:tr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Klasifikasi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: RAHASIA — Internal</w:t>
            </w:r>
          </w:p>
        </w:tc>
      </w:tr>
    </w:tbl>
    <w:p>
      <w:pPr>
        <w:spacing w:before="600" w:after="0"/>
      </w:pPr>
      <w:r>
        <w:t xml:space="preserve"/>
      </w:r>
    </w:p>
    <w:p>
      <w:pPr>
        <w:pBdr>
          <w:top w:val="single" w:color="CCCCCC" w:sz="4" w:space="4"/>
        </w:pBdr>
        <w:spacing w:before="0" w:after="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© 2026 PT Equity Life Indonesia. Dokumen ini bersifat rahasia dan hanya untuk penggunaan internal.</w:t>
      </w:r>
    </w:p>
    <w:p>
      <w:r>
        <w:br w:type="page"/>
      </w:r>
    </w:p>
    <w:p>
      <w:pPr>
        <w:pStyle w:val="Heading1"/>
        <w:pBdr>
          <w:bottom w:val="single" w:color="1A3C6B" w:sz="8" w:space="4"/>
        </w:pBdr>
        <w:spacing w:before="280" w:after="14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1. Tujuan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Dokumen ini menetapkan kerangka akuntabilitas privasi PT Equity Life Indonesia sebagaimana dipersyaratkan oleh prinsip akuntabilitas UU PDP dan ISO 27701:2019 Annex A.7.4.8. Prinsip akuntabilitas mengharuskan PT Equity Life Indonesia tidak hanya mematuhi ketentuan perlindungan data, tetapi juga mampu membuktikan kepatuhan tersebut kepada regulator, auditor, dan nasabah kapan saja.</w:t>
      </w:r>
    </w:p>
    <w:p>
      <w:pPr>
        <w:pStyle w:val="Heading1"/>
        <w:pBdr>
          <w:bottom w:val="single" w:color="1A3C6B" w:sz="8" w:space="4"/>
        </w:pBdr>
        <w:spacing w:before="280" w:after="14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2. Struktur Akuntabilitas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2.1 Akuntabilitas Organisasi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4138"/>
      </w:tblGrid>
      <w:tr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Penanggung Jawab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Lingkup Akuntabilitas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Direksi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President Director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Persetujuan kebijakan privasi; alokasi sumber daya; kepatuhan strategis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Direktorat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Direktur Technology &amp; Information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Implementasi program PIMS; laporan kepada Direksi dan regulator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Fungsional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DPO / Privacy Officer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Pengawasan operasional kepatuhan; pemeliharaan dokumentasi akuntabilitas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Unit Kerja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Privacy Champions (per Direktorat)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Implementasi kontrol di unit kerja; pelaporan insiden; kepatuhan prosedur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Individu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Seluruh Karyawan ELI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Kepatuhan terhadap kebijakan; perlindungan data dalam tugas sehari-hari</w:t>
            </w:r>
          </w:p>
        </w:tc>
      </w:tr>
    </w:tbl>
    <w:p>
      <w:pPr>
        <w:pStyle w:val="Heading1"/>
        <w:pBdr>
          <w:bottom w:val="single" w:color="1A3C6B" w:sz="8" w:space="4"/>
        </w:pBdr>
        <w:spacing w:before="280" w:after="14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3. Portfolio Bukti Kepatuhan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PT Equity Life Indonesia memelihara portfolio bukti kepatuhan yang diperbarui secara berkala dan tersimpan dalam sistem manajemen dokumen yang terkontrol. Portfolio dibagi dalam kategori berikut: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3.1 Bukti Tata Kelola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638"/>
      </w:tblGrid>
      <w:tr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Jenis Bukti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Dokumen/Artefak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Frekuensi Pembaruan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SK Penunjukan DPO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ELI-PDPISO27701-003 — SK Direksi yang ditandatangani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Setiap pergantian DPO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Kebijakan Privasi yang disetujui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Seluruh dokumen seri ELI-PDPISO27701 dengan tanda tangan persetujuan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Minimal 1x per tahun atau saat ada perubahan material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Notulen Management Review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Notulen rapat tinjauan manajemen yang mencakup agenda PIMS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Per siklus tinjauan manajemen (minimal 1x per tahun)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Laporan Komite Risiko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Risalah Komite Manajemen Risiko &amp; Komite Pemantau Risiko terkait privasi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Per siklus komite</w:t>
            </w:r>
          </w:p>
        </w:tc>
      </w:tr>
    </w:tbl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3.2 Bukti Operasional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638"/>
      </w:tblGrid>
      <w:tr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Jenis Bukti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Dokumen/Artefak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Frekuensi Pembaruan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Records of Processing Activities (RoPA)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ELI-PDPISO27701-005 — daftar lengkap aktivitas pemrosesan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Setiap ada perubahan proses; minimal 1x per tahun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Log Consent &amp; Penarikan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Database consent management: consent_id, timestamp, withdrawal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Real-time (otomatis oleh sistem)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Log Pemenuhan Hak Subjek Data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Ticket SAR: permintaan, verifikasi, tindakan, respons, waktu penyelesaian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Per permintaan subjek data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Laporan DPIA yang lengkap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Laporan DPIA per aktivitas pemrosesan berisiko tinggi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Per DPIA yang dilaksanakan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Register Vendor &amp; DPA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Daftar prosesor dan salinan DPA yang ditandatangani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Setiap onboarding/offboarding vendor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Privacy Risk Register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ELI-PDPISO27701-022 — daftar risiko privasi dan status mitigasi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Triwulanan</w:t>
            </w:r>
          </w:p>
        </w:tc>
      </w:tr>
    </w:tbl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3.3 Bukti Training &amp; Awareness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638"/>
      </w:tblGrid>
      <w:tr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Jenis Bukti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Dokumen/Artefak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Frekuensi Pembaruan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Materi pelatihan privasi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Slide, modul e-learning, video yang digunakan dalam training UU PDP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Setiap revisi materi; minimal 1x per tahun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Daftar hadir &amp; sertifikat training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Tanda tangan kehadiran atau log penyelesaian e-learning per karyawan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Per sesi training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Hasil tes/kuis awareness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Skor tes pemahaman UU PDP pasca-training per karyawan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Per sesi training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Bukti simulasi insiden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Laporan hasil tabletop exercise atau simulasi kebocoran data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Per simulasi (minimal 1x per tahun)</w:t>
            </w:r>
          </w:p>
        </w:tc>
      </w:tr>
    </w:tbl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3.4 Bukti Kepatuhan Teknis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638"/>
      </w:tblGrid>
      <w:tr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Jenis Bukti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Dokumen/Artefak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Frekuensi Pembaruan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Laporan audit keamanan &amp; privasi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Hasil internal audit PIMS; laporan audit eksternal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Tahunan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Hasil penetration testing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Laporan pentest yang mencakup endpoint yang memproses data pribadi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Minimal 1x per tahun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Bukti enkripsi data at rest &amp; in transit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Konfigurasi enkripsi; sertifikat TLS; laporan vulnerability scan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Per deployment; review tahunan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Log akses data sensitif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Audit trail sistem yang memproses data Kelas 1 &amp; Kelas 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Real-time; retensi minimal 1 tahun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Laporan pemenuhan hak subjek data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Statistik SAR: jumlah, waktu respons, tipe permintaan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Bulanan oleh DPO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Bukti notifikasi insiden (jika ada)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Laporan insiden lengkap; bukti notifikasi ke OJK dan subjek data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Per insiden</w:t>
            </w:r>
          </w:p>
        </w:tc>
      </w:tr>
    </w:tbl>
    <w:p>
      <w:pPr>
        <w:pStyle w:val="Heading1"/>
        <w:pBdr>
          <w:bottom w:val="single" w:color="1A3C6B" w:sz="8" w:space="4"/>
        </w:pBdr>
        <w:spacing w:before="280" w:after="14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4. Dashboard KPI Kepatuhan Privasi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DPO memelihara dashboard KPI yang dilaporkan kepada manajemen senior setiap triwulan: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1719"/>
        <w:gridCol w:w="1919"/>
      </w:tblGrid>
      <w:tr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Indikator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Frekuensi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Penanggung Jawab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Tingkat penyelesaian training UU PDP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≥ 95% karyawan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Kuartalan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Human Capital + DPO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Waktu respons SAR (hak subjek data)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100% dalam 3x24 jam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Bulanan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DPO + Customer Care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Jumlah DPIA yang diselesaikan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100% untuk aktivitas wajib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Kuartalan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DPO + Unit Kerja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Jumlah insiden kebocoran data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 insiden L1/L2; &lt; 3 insiden L3/L4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Bulanan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DPO + IT Security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Kepatuhan notifikasi insiden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100% dalam 14 hari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Per insiden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DPO + Legal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Review vendor dan DPA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100% vendor aktif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Tahunan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Procurement + Legal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 audit internal PIMS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Diselesaikan sesuai jadwal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Tahunan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Internal Audit + DPO</w:t>
            </w:r>
          </w:p>
        </w:tc>
      </w:tr>
    </w:tbl>
    <w:p>
      <w:pPr>
        <w:pStyle w:val="Heading1"/>
        <w:pBdr>
          <w:bottom w:val="single" w:color="1A3C6B" w:sz="8" w:space="4"/>
        </w:pBdr>
        <w:spacing w:before="280" w:after="14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5. Prosedur Pemeliharaan Portfolio Bukti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DPO bertanggung jawab memastikan semua bukti kepatuhan dikumpulkan dan disimpan dalam sistem manajemen dokumen yang terkontrol versinya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Setiap dokumen bukti diberi metadata: tanggal pembuatan, versi, pemilik, klasifikasi, dan periode retensi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Portfolio bukti harus dapat diakses dalam waktu 24 jam jika diminta oleh OJK, auditor eksternal, atau internal audit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Akses ke portfolio bukti dibatasi kepada DPO, Direktur T&amp;I, Legal Counsel, dan Internal Audit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Portfolio di-review dan diverifikasi kelengkapannya setiap kuartal oleh DPO</w:t>
      </w:r>
    </w:p>
    <w:p>
      <w:pPr>
        <w:pStyle w:val="Heading1"/>
        <w:pBdr>
          <w:bottom w:val="single" w:color="1A3C6B" w:sz="8" w:space="4"/>
        </w:pBdr>
        <w:spacing w:before="280" w:after="14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6. Persetujuan Dokumen</w:t>
      </w:r>
    </w:p>
    <w:p>
      <w:pPr>
        <w:spacing w:before="8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Disusun oleh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Diperiksa oleh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Disetujui oleh</w:t>
            </w:r>
          </w:p>
        </w:tc>
      </w:tr>
      <w:t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Tanda Tangan</w:t>
            </w:r>
          </w:p>
          <w:p>
            <w:pPr>
              <w:spacing w:before="600"/>
              <w:jc w:val="center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Tanda Tangan</w:t>
            </w:r>
          </w:p>
          <w:p>
            <w:pPr>
              <w:spacing w:before="600"/>
              <w:jc w:val="center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Tanda Tangan</w:t>
            </w:r>
          </w:p>
          <w:p>
            <w:pPr>
              <w:spacing w:before="600"/>
              <w:jc w:val="center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</w:t>
            </w:r>
          </w:p>
        </w:tc>
      </w:tr>
      <w:t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DPO / Privacy Officer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IT Security &amp; Governance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Internal Audit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PT Equity Life Indonesia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Direktur Technology &amp; Information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PT Equity Life Indonesia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spacing w:before="60"/>
    </w:pPr>
    <w:r>
      <w:rPr>
        <w:rFonts w:ascii="Arial" w:cs="Arial" w:eastAsia="Arial" w:hAnsi="Arial"/>
        <w:color w:val="666666"/>
        <w:sz w:val="16"/>
        <w:szCs w:val="16"/>
      </w:rPr>
      <w:t xml:space="preserve">Rahasia — Internal  |  PT Equity Life Indonesia  |  UU PDP &amp; ISO 27701:2019 —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264"/>
      <w:gridCol w:w="3373"/>
    </w:tblGrid>
    <w:tr>
      <w:tc>
        <w:tcPr>
          <w:tcW w:type="dxa" w:w="6264"/>
          <w:tcBorders>
            <w:top w:val="none" w:color="FFFFFF" w:sz="0"/>
            <w:left w:val="none" w:color="FFFFFF" w:sz="0"/>
            <w:bottom w:val="single" w:color="1A3C6B" w:sz="6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1A3C6B"/>
              <w:sz w:val="18"/>
              <w:szCs w:val="18"/>
            </w:rPr>
            <w:t xml:space="preserve">PT Equity Life Indonesia</w:t>
          </w:r>
        </w:p>
        <w:p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Dokumentasi Akuntabilitas &amp; Bukti Kepatuhan Privasi</w:t>
          </w:r>
        </w:p>
      </w:tc>
      <w:tc>
        <w:tcPr>
          <w:tcW w:type="dxa" w:w="3373"/>
          <w:tcBorders>
            <w:top w:val="none" w:color="FFFFFF" w:sz="0"/>
            <w:left w:val="none" w:color="FFFFFF" w:sz="0"/>
            <w:bottom w:val="single" w:color="1A3C6B" w:sz="6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ELI-PDPISO27701-028</w:t>
          </w:r>
        </w:p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Versi 1.0 |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Arial" w:cs="Arial" w:eastAsia="Arial" w:hAnsi="Arial"/>
      <w:b/>
      <w:bCs/>
      <w:color w:val="1A3C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rFonts w:ascii="Arial" w:cs="Arial" w:eastAsia="Arial" w:hAnsi="Arial"/>
      <w:b/>
      <w:bCs/>
      <w:color w:val="2563A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2026-03-21T16:52:24.719Z</dcterms:created>
  <dcterms:modified xsi:type="dcterms:W3CDTF">2026-03-21T16:52:24.719Z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