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613FA" w14:textId="77777777" w:rsidR="004707EC" w:rsidRDefault="004707EC" w:rsidP="000049F6"/>
    <w:p w14:paraId="3AC213A4" w14:textId="7CA08CDE" w:rsidR="000049F6" w:rsidRPr="000049F6" w:rsidRDefault="004707EC" w:rsidP="000049F6">
      <w:pPr>
        <w:rPr>
          <w:b/>
          <w:bCs/>
        </w:rPr>
      </w:pPr>
      <w:r w:rsidRPr="004707EC">
        <w:rPr>
          <w:b/>
          <w:bCs/>
          <w:sz w:val="36"/>
          <w:szCs w:val="36"/>
        </w:rPr>
        <w:t>Insight</w:t>
      </w:r>
      <w:r w:rsidRPr="004707EC">
        <w:rPr>
          <w:b/>
          <w:bCs/>
          <w:sz w:val="36"/>
          <w:szCs w:val="36"/>
        </w:rPr>
        <w:t>s</w:t>
      </w:r>
      <w:r>
        <w:rPr>
          <w:b/>
          <w:bCs/>
          <w:sz w:val="36"/>
          <w:szCs w:val="36"/>
        </w:rPr>
        <w:t>:</w:t>
      </w:r>
      <w:r w:rsidR="000049F6" w:rsidRPr="004707EC">
        <w:rPr>
          <w:b/>
          <w:bCs/>
          <w:sz w:val="36"/>
          <w:szCs w:val="36"/>
        </w:rPr>
        <w:br/>
      </w:r>
      <w:r w:rsidR="000049F6" w:rsidRPr="000049F6">
        <w:rPr>
          <w:b/>
          <w:bCs/>
        </w:rPr>
        <w:t>1. Seasonal and Weekly Trends</w:t>
      </w:r>
    </w:p>
    <w:p w14:paraId="56D261AD" w14:textId="041D7242" w:rsidR="00235ACC" w:rsidRDefault="00235ACC" w:rsidP="00235ACC">
      <w:pPr>
        <w:ind w:left="360"/>
        <w:rPr>
          <w:b/>
          <w:bCs/>
        </w:rPr>
      </w:pPr>
      <w:r w:rsidRPr="00235ACC">
        <w:rPr>
          <w:b/>
          <w:bCs/>
        </w:rPr>
        <w:t>Weekly Trends:</w:t>
      </w:r>
    </w:p>
    <w:p w14:paraId="44EB82BE" w14:textId="53596A11" w:rsidR="00235ACC" w:rsidRDefault="00235ACC" w:rsidP="00235ACC">
      <w:pPr>
        <w:pStyle w:val="ListParagraph"/>
        <w:numPr>
          <w:ilvl w:val="0"/>
          <w:numId w:val="12"/>
        </w:numPr>
      </w:pPr>
      <w:r w:rsidRPr="00235ACC">
        <w:t>Avg. of all services over the week days.</w:t>
      </w:r>
    </w:p>
    <w:p w14:paraId="79B816D4" w14:textId="77777777" w:rsidR="00235ACC" w:rsidRPr="000049F6" w:rsidRDefault="00235ACC" w:rsidP="00235ACC">
      <w:pPr>
        <w:numPr>
          <w:ilvl w:val="0"/>
          <w:numId w:val="2"/>
        </w:numPr>
      </w:pPr>
      <w:r w:rsidRPr="000049F6">
        <w:t xml:space="preserve">A clear </w:t>
      </w:r>
      <w:r w:rsidRPr="000049F6">
        <w:rPr>
          <w:b/>
          <w:bCs/>
        </w:rPr>
        <w:t>weekly pattern</w:t>
      </w:r>
      <w:r w:rsidRPr="000049F6">
        <w:t xml:space="preserve"> is expected (e.g., reduced service on weekends).</w:t>
      </w:r>
    </w:p>
    <w:p w14:paraId="3B5CFF3A" w14:textId="77777777" w:rsidR="00235ACC" w:rsidRPr="00235ACC" w:rsidRDefault="00235ACC" w:rsidP="00235ACC">
      <w:pPr>
        <w:ind w:left="720"/>
      </w:pPr>
    </w:p>
    <w:p w14:paraId="39F05083" w14:textId="4D599383" w:rsidR="00235ACC" w:rsidRPr="00235ACC" w:rsidRDefault="00235ACC" w:rsidP="00235ACC">
      <w:pPr>
        <w:ind w:left="720"/>
        <w:rPr>
          <w:b/>
          <w:bCs/>
        </w:rPr>
      </w:pPr>
      <w:r w:rsidRPr="00235ACC">
        <w:rPr>
          <w:b/>
          <w:bCs/>
        </w:rPr>
        <w:t>Helps identify whether certain days (like weekends) have significantly lower or higher passenger counts.</w:t>
      </w:r>
    </w:p>
    <w:p w14:paraId="0104812A" w14:textId="17F33B74" w:rsidR="00235ACC" w:rsidRDefault="00235ACC" w:rsidP="00235ACC">
      <w:pPr>
        <w:ind w:left="720"/>
        <w:rPr>
          <w:b/>
          <w:bCs/>
        </w:rPr>
      </w:pPr>
      <w:r w:rsidRPr="00235ACC">
        <w:rPr>
          <w:b/>
          <w:bCs/>
          <w:noProof/>
        </w:rPr>
        <w:drawing>
          <wp:inline distT="0" distB="0" distL="0" distR="0" wp14:anchorId="6843A06E" wp14:editId="1BAB6BEB">
            <wp:extent cx="4977130" cy="2469265"/>
            <wp:effectExtent l="0" t="0" r="0" b="7620"/>
            <wp:docPr id="2069657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334" cy="2480777"/>
                    </a:xfrm>
                    <a:prstGeom prst="rect">
                      <a:avLst/>
                    </a:prstGeom>
                    <a:noFill/>
                    <a:ln>
                      <a:noFill/>
                    </a:ln>
                  </pic:spPr>
                </pic:pic>
              </a:graphicData>
            </a:graphic>
          </wp:inline>
        </w:drawing>
      </w:r>
    </w:p>
    <w:p w14:paraId="682913E3" w14:textId="69271D3E" w:rsidR="00235ACC" w:rsidRPr="00235ACC" w:rsidRDefault="00235ACC" w:rsidP="00235ACC">
      <w:pPr>
        <w:ind w:left="720"/>
      </w:pPr>
      <w:r>
        <w:t xml:space="preserve">From the </w:t>
      </w:r>
      <w:proofErr w:type="gramStart"/>
      <w:r>
        <w:t>above ,</w:t>
      </w:r>
      <w:proofErr w:type="gramEnd"/>
      <w:r>
        <w:t xml:space="preserve"> the Rapid route has </w:t>
      </w:r>
      <w:proofErr w:type="gramStart"/>
      <w:r w:rsidRPr="00235ACC">
        <w:t>have</w:t>
      </w:r>
      <w:proofErr w:type="gramEnd"/>
      <w:r w:rsidRPr="00235ACC">
        <w:t xml:space="preserve"> significantly higher passenger counts</w:t>
      </w:r>
      <w:r>
        <w:t xml:space="preserve"> and peak services has the </w:t>
      </w:r>
      <w:r w:rsidRPr="00235ACC">
        <w:t>significantly lower passenger counts</w:t>
      </w:r>
      <w:r>
        <w:t xml:space="preserve">, And the </w:t>
      </w:r>
      <w:proofErr w:type="gramStart"/>
      <w:r>
        <w:t>schools</w:t>
      </w:r>
      <w:proofErr w:type="gramEnd"/>
      <w:r>
        <w:t xml:space="preserve"> route has been closed for the </w:t>
      </w:r>
      <w:proofErr w:type="gramStart"/>
      <w:r>
        <w:t xml:space="preserve">weekends </w:t>
      </w:r>
      <w:r>
        <w:rPr>
          <w:b/>
          <w:bCs/>
        </w:rPr>
        <w:t>.</w:t>
      </w:r>
      <w:proofErr w:type="gramEnd"/>
    </w:p>
    <w:p w14:paraId="67F9B77E" w14:textId="601193FC" w:rsidR="00235ACC" w:rsidRDefault="00235ACC" w:rsidP="00235ACC">
      <w:pPr>
        <w:ind w:left="720"/>
        <w:rPr>
          <w:b/>
          <w:bCs/>
        </w:rPr>
      </w:pPr>
      <w:r w:rsidRPr="00235ACC">
        <w:rPr>
          <w:b/>
          <w:bCs/>
        </w:rPr>
        <w:t>Seasonal Trends</w:t>
      </w:r>
      <w:r>
        <w:rPr>
          <w:b/>
          <w:bCs/>
        </w:rPr>
        <w:t xml:space="preserve"> for the Rapid route</w:t>
      </w:r>
      <w:r w:rsidRPr="00235ACC">
        <w:rPr>
          <w:b/>
          <w:bCs/>
        </w:rPr>
        <w:t>:</w:t>
      </w:r>
    </w:p>
    <w:p w14:paraId="700295F6" w14:textId="57AA6A2D" w:rsidR="00235ACC" w:rsidRDefault="00235ACC" w:rsidP="00235ACC">
      <w:pPr>
        <w:ind w:left="720"/>
        <w:rPr>
          <w:b/>
          <w:bCs/>
        </w:rPr>
      </w:pPr>
      <w:r>
        <w:rPr>
          <w:noProof/>
        </w:rPr>
        <w:drawing>
          <wp:inline distT="0" distB="0" distL="0" distR="0" wp14:anchorId="03F322EC" wp14:editId="7A15CE6C">
            <wp:extent cx="3255818" cy="2454669"/>
            <wp:effectExtent l="0" t="0" r="1905" b="3175"/>
            <wp:docPr id="275703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690" cy="2465128"/>
                    </a:xfrm>
                    <a:prstGeom prst="rect">
                      <a:avLst/>
                    </a:prstGeom>
                    <a:noFill/>
                    <a:ln>
                      <a:noFill/>
                    </a:ln>
                  </pic:spPr>
                </pic:pic>
              </a:graphicData>
            </a:graphic>
          </wp:inline>
        </w:drawing>
      </w:r>
    </w:p>
    <w:p w14:paraId="3710424B" w14:textId="70EEE423" w:rsidR="00D60D66" w:rsidRDefault="00D60D66" w:rsidP="00D60D66">
      <w:pPr>
        <w:rPr>
          <w:b/>
          <w:bCs/>
        </w:rPr>
      </w:pPr>
      <w:r w:rsidRPr="00D60D66">
        <w:rPr>
          <w:b/>
          <w:bCs/>
        </w:rPr>
        <w:t>Seasonal Decomposition of Time Series for the Rapid Route service</w:t>
      </w:r>
    </w:p>
    <w:p w14:paraId="013B006E" w14:textId="5D304C42" w:rsidR="00D60D66" w:rsidRDefault="00D60D66" w:rsidP="00D60D66">
      <w:r w:rsidRPr="00D60D66">
        <w:rPr>
          <w:b/>
          <w:bCs/>
        </w:rPr>
        <w:lastRenderedPageBreak/>
        <w:t>Observed</w:t>
      </w:r>
      <w:r>
        <w:rPr>
          <w:b/>
          <w:bCs/>
        </w:rPr>
        <w:t xml:space="preserve">: </w:t>
      </w:r>
      <w:r w:rsidRPr="00D60D66">
        <w:t xml:space="preserve">The first </w:t>
      </w:r>
      <w:r>
        <w:t xml:space="preserve">plot </w:t>
      </w:r>
      <w:r w:rsidRPr="00D60D66">
        <w:t xml:space="preserve">shows </w:t>
      </w:r>
      <w:r w:rsidRPr="00D60D66">
        <w:rPr>
          <w:b/>
          <w:bCs/>
        </w:rPr>
        <w:t>the raw passenger journey counts over time</w:t>
      </w:r>
      <w:r w:rsidRPr="00D60D66">
        <w:t>.</w:t>
      </w:r>
    </w:p>
    <w:p w14:paraId="1A34B7BF" w14:textId="235C8087" w:rsidR="00D60D66" w:rsidRDefault="00D60D66" w:rsidP="00D60D66">
      <w:r w:rsidRPr="00D60D66">
        <w:rPr>
          <w:b/>
          <w:bCs/>
        </w:rPr>
        <w:t>Trend</w:t>
      </w:r>
      <w:r>
        <w:t>:</w:t>
      </w:r>
      <w:r w:rsidRPr="00D60D66">
        <w:t xml:space="preserve"> </w:t>
      </w:r>
      <w:r w:rsidRPr="00D60D66">
        <w:t>the trend is somewhat flat to slightly increasing</w:t>
      </w:r>
      <w:r>
        <w:t xml:space="preserve">, And Rapid Route </w:t>
      </w:r>
      <w:r w:rsidRPr="00D60D66">
        <w:t xml:space="preserve">has a </w:t>
      </w:r>
      <w:r w:rsidRPr="00D60D66">
        <w:rPr>
          <w:b/>
          <w:bCs/>
        </w:rPr>
        <w:t>stable or mildly increasing</w:t>
      </w:r>
      <w:r w:rsidRPr="00D60D66">
        <w:t xml:space="preserve"> demand over time.</w:t>
      </w:r>
    </w:p>
    <w:p w14:paraId="4D04743A" w14:textId="77777777" w:rsidR="00D60D66" w:rsidRPr="00D60D66" w:rsidRDefault="00D60D66" w:rsidP="00D60D66">
      <w:pPr>
        <w:rPr>
          <w:b/>
          <w:bCs/>
        </w:rPr>
      </w:pPr>
      <w:r w:rsidRPr="00D60D66">
        <w:rPr>
          <w:b/>
          <w:bCs/>
        </w:rPr>
        <w:t>Seasonality</w:t>
      </w:r>
      <w:r>
        <w:rPr>
          <w:b/>
          <w:bCs/>
        </w:rPr>
        <w:t xml:space="preserve">: </w:t>
      </w:r>
      <w:r w:rsidRPr="00D60D66">
        <w:t>The seasonal component is strong, with consistent up-and-down fluctuations, likely indicating:</w:t>
      </w:r>
    </w:p>
    <w:p w14:paraId="3EEBA35F" w14:textId="206C8BD2" w:rsidR="00D60D66" w:rsidRPr="00D60D66" w:rsidRDefault="00D60D66" w:rsidP="00D60D66">
      <w:pPr>
        <w:numPr>
          <w:ilvl w:val="0"/>
          <w:numId w:val="13"/>
        </w:numPr>
        <w:rPr>
          <w:b/>
          <w:bCs/>
        </w:rPr>
      </w:pPr>
      <w:r w:rsidRPr="00D60D66">
        <w:rPr>
          <w:b/>
          <w:bCs/>
        </w:rPr>
        <w:t xml:space="preserve">Higher </w:t>
      </w:r>
      <w:proofErr w:type="spellStart"/>
      <w:r>
        <w:rPr>
          <w:b/>
          <w:bCs/>
        </w:rPr>
        <w:t>passengeners</w:t>
      </w:r>
      <w:proofErr w:type="spellEnd"/>
      <w:r>
        <w:rPr>
          <w:b/>
          <w:bCs/>
        </w:rPr>
        <w:t xml:space="preserve"> </w:t>
      </w:r>
      <w:r w:rsidRPr="00D60D66">
        <w:rPr>
          <w:b/>
          <w:bCs/>
        </w:rPr>
        <w:t>on weekdays</w:t>
      </w:r>
    </w:p>
    <w:p w14:paraId="70E7463B" w14:textId="77777777" w:rsidR="00D60D66" w:rsidRPr="00D60D66" w:rsidRDefault="00D60D66" w:rsidP="00D60D66">
      <w:pPr>
        <w:numPr>
          <w:ilvl w:val="0"/>
          <w:numId w:val="13"/>
        </w:numPr>
        <w:rPr>
          <w:b/>
          <w:bCs/>
        </w:rPr>
      </w:pPr>
      <w:r w:rsidRPr="00D60D66">
        <w:rPr>
          <w:b/>
          <w:bCs/>
        </w:rPr>
        <w:t>Lower usage on weekends/holidays</w:t>
      </w:r>
    </w:p>
    <w:p w14:paraId="5D38E515" w14:textId="671FC916" w:rsidR="00D60D66" w:rsidRDefault="00D60D66" w:rsidP="00D60D66">
      <w:pPr>
        <w:rPr>
          <w:b/>
          <w:bCs/>
        </w:rPr>
      </w:pPr>
      <w:r w:rsidRPr="00D60D66">
        <w:rPr>
          <w:b/>
          <w:bCs/>
        </w:rPr>
        <w:t>Residual</w:t>
      </w:r>
      <w:r>
        <w:rPr>
          <w:b/>
          <w:bCs/>
        </w:rPr>
        <w:t xml:space="preserve">: </w:t>
      </w:r>
      <w:r w:rsidRPr="00D60D66">
        <w:rPr>
          <w:b/>
          <w:bCs/>
        </w:rPr>
        <w:t xml:space="preserve">Residuals are fairly </w:t>
      </w:r>
      <w:proofErr w:type="spellStart"/>
      <w:r w:rsidRPr="00D60D66">
        <w:rPr>
          <w:b/>
          <w:bCs/>
        </w:rPr>
        <w:t>centered</w:t>
      </w:r>
      <w:proofErr w:type="spellEnd"/>
      <w:r w:rsidRPr="00D60D66">
        <w:rPr>
          <w:b/>
          <w:bCs/>
        </w:rPr>
        <w:t xml:space="preserve"> around 0 but spiky, which is normal in public transport data.</w:t>
      </w:r>
    </w:p>
    <w:p w14:paraId="1DE7A7C6" w14:textId="181F5542" w:rsidR="00D60D66" w:rsidRPr="00D60D66" w:rsidRDefault="00D60D66" w:rsidP="00D60D66">
      <w:pPr>
        <w:pStyle w:val="ListParagraph"/>
        <w:numPr>
          <w:ilvl w:val="0"/>
          <w:numId w:val="13"/>
        </w:numPr>
      </w:pPr>
      <w:r w:rsidRPr="00D60D66">
        <w:t>The "noise" or irregular components not explained by trend or seasonality.</w:t>
      </w:r>
    </w:p>
    <w:p w14:paraId="5B1C1B30" w14:textId="21624603" w:rsidR="00D60D66" w:rsidRPr="00D60D66" w:rsidRDefault="00D60D66" w:rsidP="00D60D66">
      <w:pPr>
        <w:pStyle w:val="ListParagraph"/>
        <w:numPr>
          <w:ilvl w:val="0"/>
          <w:numId w:val="14"/>
        </w:numPr>
      </w:pPr>
      <w:r w:rsidRPr="00D60D66">
        <w:t>These might come from:</w:t>
      </w:r>
    </w:p>
    <w:p w14:paraId="604BEC7C" w14:textId="77777777" w:rsidR="00D60D66" w:rsidRPr="00D60D66" w:rsidRDefault="00D60D66" w:rsidP="00D60D66">
      <w:pPr>
        <w:numPr>
          <w:ilvl w:val="0"/>
          <w:numId w:val="12"/>
        </w:numPr>
      </w:pPr>
      <w:r w:rsidRPr="00D60D66">
        <w:t>Sudden events (e.g., strikes, weather disruptions)</w:t>
      </w:r>
    </w:p>
    <w:p w14:paraId="5BBC280A" w14:textId="77777777" w:rsidR="00D60D66" w:rsidRPr="00D60D66" w:rsidRDefault="00D60D66" w:rsidP="00D60D66">
      <w:pPr>
        <w:numPr>
          <w:ilvl w:val="0"/>
          <w:numId w:val="12"/>
        </w:numPr>
      </w:pPr>
      <w:r w:rsidRPr="00D60D66">
        <w:t>Public holidays or unexpected spikes/drops</w:t>
      </w:r>
    </w:p>
    <w:p w14:paraId="04F46AFB" w14:textId="048B2F8F" w:rsidR="00883296" w:rsidRDefault="00883296" w:rsidP="00883296">
      <w:pPr>
        <w:rPr>
          <w:b/>
          <w:bCs/>
        </w:rPr>
      </w:pPr>
      <w:r w:rsidRPr="00883296">
        <w:rPr>
          <w:b/>
          <w:bCs/>
        </w:rPr>
        <w:t>Seasonal Trends for the Rapid route</w:t>
      </w:r>
      <w:r>
        <w:rPr>
          <w:b/>
          <w:bCs/>
        </w:rPr>
        <w:t xml:space="preserve"> insights</w:t>
      </w:r>
      <w:r w:rsidRPr="00883296">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953"/>
      </w:tblGrid>
      <w:tr w:rsidR="00883296" w:rsidRPr="00883296" w14:paraId="03E24BE8" w14:textId="77777777" w:rsidTr="00883296">
        <w:trPr>
          <w:tblHeader/>
          <w:tblCellSpacing w:w="15" w:type="dxa"/>
        </w:trPr>
        <w:tc>
          <w:tcPr>
            <w:tcW w:w="0" w:type="auto"/>
            <w:vAlign w:val="center"/>
            <w:hideMark/>
          </w:tcPr>
          <w:p w14:paraId="500805FD" w14:textId="53D324B2" w:rsidR="00883296" w:rsidRPr="00883296" w:rsidRDefault="00883296" w:rsidP="00883296">
            <w:pPr>
              <w:rPr>
                <w:b/>
                <w:bCs/>
              </w:rPr>
            </w:pPr>
            <w:r w:rsidRPr="00883296">
              <w:rPr>
                <w:b/>
                <w:bCs/>
              </w:rPr>
              <w:t>Trend</w:t>
            </w:r>
            <w:r>
              <w:rPr>
                <w:b/>
                <w:bCs/>
              </w:rPr>
              <w:t>:</w:t>
            </w:r>
          </w:p>
        </w:tc>
        <w:tc>
          <w:tcPr>
            <w:tcW w:w="0" w:type="auto"/>
            <w:vAlign w:val="center"/>
            <w:hideMark/>
          </w:tcPr>
          <w:p w14:paraId="5EDA9DBD" w14:textId="24F0B4A5" w:rsidR="00883296" w:rsidRPr="00883296" w:rsidRDefault="00883296" w:rsidP="00883296">
            <w:pPr>
              <w:rPr>
                <w:b/>
                <w:bCs/>
              </w:rPr>
            </w:pPr>
            <w:r w:rsidRPr="00883296">
              <w:rPr>
                <w:b/>
                <w:bCs/>
              </w:rPr>
              <w:t>Ridership is stable, possibly slightly increasing over time</w:t>
            </w:r>
          </w:p>
        </w:tc>
      </w:tr>
      <w:tr w:rsidR="00883296" w:rsidRPr="00883296" w14:paraId="1605F3BB" w14:textId="77777777" w:rsidTr="00883296">
        <w:trPr>
          <w:tblCellSpacing w:w="15" w:type="dxa"/>
        </w:trPr>
        <w:tc>
          <w:tcPr>
            <w:tcW w:w="0" w:type="auto"/>
            <w:vAlign w:val="center"/>
            <w:hideMark/>
          </w:tcPr>
          <w:p w14:paraId="1B86BA82" w14:textId="663397A7" w:rsidR="00883296" w:rsidRPr="00883296" w:rsidRDefault="00883296" w:rsidP="00883296">
            <w:pPr>
              <w:rPr>
                <w:b/>
                <w:bCs/>
              </w:rPr>
            </w:pPr>
            <w:r w:rsidRPr="00883296">
              <w:rPr>
                <w:b/>
                <w:bCs/>
              </w:rPr>
              <w:t>Seasonal</w:t>
            </w:r>
            <w:r>
              <w:rPr>
                <w:b/>
                <w:bCs/>
              </w:rPr>
              <w:t>:</w:t>
            </w:r>
          </w:p>
        </w:tc>
        <w:tc>
          <w:tcPr>
            <w:tcW w:w="0" w:type="auto"/>
            <w:vAlign w:val="center"/>
            <w:hideMark/>
          </w:tcPr>
          <w:p w14:paraId="1AADBBAF" w14:textId="77B7E507" w:rsidR="00883296" w:rsidRPr="00883296" w:rsidRDefault="00883296" w:rsidP="00883296">
            <w:pPr>
              <w:rPr>
                <w:b/>
                <w:bCs/>
              </w:rPr>
            </w:pPr>
            <w:r w:rsidRPr="00883296">
              <w:rPr>
                <w:b/>
                <w:bCs/>
              </w:rPr>
              <w:t>Clear weekly/monthly pattern — lower on weekends or holidays</w:t>
            </w:r>
          </w:p>
        </w:tc>
      </w:tr>
      <w:tr w:rsidR="00883296" w:rsidRPr="00883296" w14:paraId="651EB000" w14:textId="77777777" w:rsidTr="00883296">
        <w:trPr>
          <w:tblCellSpacing w:w="15" w:type="dxa"/>
        </w:trPr>
        <w:tc>
          <w:tcPr>
            <w:tcW w:w="0" w:type="auto"/>
            <w:vAlign w:val="center"/>
            <w:hideMark/>
          </w:tcPr>
          <w:p w14:paraId="7D640786" w14:textId="644DDD73" w:rsidR="00883296" w:rsidRPr="00883296" w:rsidRDefault="00883296" w:rsidP="00883296">
            <w:pPr>
              <w:rPr>
                <w:b/>
                <w:bCs/>
              </w:rPr>
            </w:pPr>
            <w:r w:rsidRPr="00883296">
              <w:rPr>
                <w:b/>
                <w:bCs/>
              </w:rPr>
              <w:t>Residual</w:t>
            </w:r>
            <w:r>
              <w:rPr>
                <w:b/>
                <w:bCs/>
              </w:rPr>
              <w:t>:</w:t>
            </w:r>
          </w:p>
        </w:tc>
        <w:tc>
          <w:tcPr>
            <w:tcW w:w="0" w:type="auto"/>
            <w:vAlign w:val="center"/>
            <w:hideMark/>
          </w:tcPr>
          <w:p w14:paraId="0181A189" w14:textId="3133A70B" w:rsidR="00883296" w:rsidRPr="00883296" w:rsidRDefault="00883296" w:rsidP="00883296">
            <w:pPr>
              <w:rPr>
                <w:b/>
                <w:bCs/>
              </w:rPr>
            </w:pPr>
            <w:r w:rsidRPr="00883296">
              <w:rPr>
                <w:b/>
                <w:bCs/>
              </w:rPr>
              <w:t>Acceptable level of noise; outliers may reflect one-off events</w:t>
            </w:r>
          </w:p>
        </w:tc>
      </w:tr>
      <w:tr w:rsidR="00883296" w:rsidRPr="00883296" w14:paraId="369262BE" w14:textId="77777777" w:rsidTr="00922923">
        <w:trPr>
          <w:tblCellSpacing w:w="15" w:type="dxa"/>
        </w:trPr>
        <w:tc>
          <w:tcPr>
            <w:tcW w:w="0" w:type="auto"/>
            <w:vAlign w:val="center"/>
          </w:tcPr>
          <w:p w14:paraId="6552E8C9" w14:textId="4A89E337" w:rsidR="00883296" w:rsidRPr="00883296" w:rsidRDefault="00883296" w:rsidP="00883296">
            <w:pPr>
              <w:rPr>
                <w:b/>
                <w:bCs/>
              </w:rPr>
            </w:pPr>
          </w:p>
        </w:tc>
        <w:tc>
          <w:tcPr>
            <w:tcW w:w="0" w:type="auto"/>
            <w:vAlign w:val="center"/>
          </w:tcPr>
          <w:p w14:paraId="38B944D5" w14:textId="617E6F8A" w:rsidR="00883296" w:rsidRPr="00883296" w:rsidRDefault="00883296" w:rsidP="00883296">
            <w:pPr>
              <w:rPr>
                <w:b/>
                <w:bCs/>
              </w:rPr>
            </w:pPr>
          </w:p>
        </w:tc>
      </w:tr>
    </w:tbl>
    <w:p w14:paraId="05FDF027" w14:textId="5E1870C3" w:rsidR="00D60D66" w:rsidRPr="000049F6" w:rsidRDefault="004707EC" w:rsidP="00D60D66">
      <w:pPr>
        <w:rPr>
          <w:b/>
          <w:bCs/>
        </w:rPr>
      </w:pPr>
      <w:r>
        <w:rPr>
          <w:b/>
          <w:bCs/>
        </w:rPr>
        <w:t>-------------------------------------------------------------------------------------------------------------------------------------</w:t>
      </w:r>
    </w:p>
    <w:p w14:paraId="36BA83A5" w14:textId="77777777" w:rsidR="000049F6" w:rsidRPr="000049F6" w:rsidRDefault="000049F6" w:rsidP="000049F6">
      <w:pPr>
        <w:rPr>
          <w:b/>
          <w:bCs/>
        </w:rPr>
      </w:pPr>
      <w:r w:rsidRPr="000049F6">
        <w:rPr>
          <w:b/>
          <w:bCs/>
        </w:rPr>
        <w:t>2. School Services Have High Zero Days</w:t>
      </w:r>
    </w:p>
    <w:p w14:paraId="2C592157" w14:textId="77777777" w:rsidR="000049F6" w:rsidRPr="000049F6" w:rsidRDefault="000049F6" w:rsidP="000049F6">
      <w:pPr>
        <w:numPr>
          <w:ilvl w:val="0"/>
          <w:numId w:val="3"/>
        </w:numPr>
      </w:pPr>
      <w:r w:rsidRPr="000049F6">
        <w:t xml:space="preserve">Median value (50th percentile) for School is only </w:t>
      </w:r>
      <w:r w:rsidRPr="000049F6">
        <w:rPr>
          <w:b/>
          <w:bCs/>
        </w:rPr>
        <w:t>567</w:t>
      </w:r>
      <w:r w:rsidRPr="000049F6">
        <w:t xml:space="preserve">, but the </w:t>
      </w:r>
      <w:r w:rsidRPr="000049F6">
        <w:rPr>
          <w:b/>
          <w:bCs/>
        </w:rPr>
        <w:t>25th percentile is 0</w:t>
      </w:r>
      <w:r w:rsidRPr="000049F6">
        <w:t xml:space="preserve">, and the </w:t>
      </w:r>
      <w:r w:rsidRPr="000049F6">
        <w:rPr>
          <w:b/>
          <w:bCs/>
        </w:rPr>
        <w:t>min is also 0</w:t>
      </w:r>
      <w:r w:rsidRPr="000049F6">
        <w:t>.</w:t>
      </w:r>
    </w:p>
    <w:p w14:paraId="7260DC9F" w14:textId="77777777" w:rsidR="000049F6" w:rsidRDefault="000049F6" w:rsidP="000049F6">
      <w:pPr>
        <w:numPr>
          <w:ilvl w:val="0"/>
          <w:numId w:val="3"/>
        </w:numPr>
      </w:pPr>
      <w:r w:rsidRPr="000049F6">
        <w:t xml:space="preserve">This suggests </w:t>
      </w:r>
      <w:r w:rsidRPr="000049F6">
        <w:rPr>
          <w:b/>
          <w:bCs/>
        </w:rPr>
        <w:t>school transport services are not active on many days</w:t>
      </w:r>
      <w:r w:rsidRPr="000049F6">
        <w:t xml:space="preserve"> (likely weekends, holidays, or COVID shutdowns).</w:t>
      </w:r>
    </w:p>
    <w:tbl>
      <w:tblPr>
        <w:tblW w:w="0" w:type="auto"/>
        <w:tblCellMar>
          <w:top w:w="15" w:type="dxa"/>
          <w:left w:w="15" w:type="dxa"/>
          <w:bottom w:w="15" w:type="dxa"/>
          <w:right w:w="15" w:type="dxa"/>
        </w:tblCellMar>
        <w:tblLook w:val="04A0" w:firstRow="1" w:lastRow="0" w:firstColumn="1" w:lastColumn="0" w:noHBand="0" w:noVBand="1"/>
      </w:tblPr>
      <w:tblGrid>
        <w:gridCol w:w="1551"/>
        <w:gridCol w:w="1336"/>
      </w:tblGrid>
      <w:tr w:rsidR="00883296" w:rsidRPr="00883296" w14:paraId="3008E933" w14:textId="77777777" w:rsidTr="00883296">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14:paraId="61E52D54" w14:textId="77777777" w:rsidR="00883296" w:rsidRPr="00883296" w:rsidRDefault="00883296" w:rsidP="00883296">
            <w:pPr>
              <w:pStyle w:val="ListParagraph"/>
              <w:numPr>
                <w:ilvl w:val="0"/>
                <w:numId w:val="3"/>
              </w:numPr>
              <w:spacing w:after="0" w:line="240" w:lineRule="auto"/>
              <w:jc w:val="right"/>
              <w:rPr>
                <w:rFonts w:ascii="Aptos Display" w:eastAsia="Times New Roman" w:hAnsi="Aptos Display" w:cs="Courier New"/>
                <w:b/>
                <w:bCs/>
                <w:kern w:val="0"/>
                <w:sz w:val="20"/>
                <w:szCs w:val="20"/>
                <w:lang w:eastAsia="en-IN"/>
                <w14:ligatures w14:val="none"/>
              </w:rPr>
            </w:pPr>
            <w:r w:rsidRPr="00883296">
              <w:rPr>
                <w:rFonts w:ascii="Aptos Display" w:eastAsia="Times New Roman" w:hAnsi="Aptos Display" w:cs="Courier New"/>
                <w:b/>
                <w:bCs/>
                <w:kern w:val="0"/>
                <w:sz w:val="20"/>
                <w:szCs w:val="20"/>
                <w:lang w:eastAsia="en-IN"/>
                <w14:ligatures w14:val="none"/>
              </w:rPr>
              <w:br/>
              <w:t>School</w:t>
            </w:r>
          </w:p>
        </w:tc>
      </w:tr>
      <w:tr w:rsidR="00883296" w:rsidRPr="00883296" w14:paraId="575A688D"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60E722C4"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E2D9FDB"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1918.000000</w:t>
            </w:r>
          </w:p>
        </w:tc>
      </w:tr>
      <w:tr w:rsidR="00883296" w:rsidRPr="00883296" w14:paraId="7602A3C6"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4269DAD0"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1FC457C"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2352.694995</w:t>
            </w:r>
          </w:p>
        </w:tc>
      </w:tr>
      <w:tr w:rsidR="00883296" w:rsidRPr="00883296" w14:paraId="2C95D7D0"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5E51DB57"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05586E8D"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2494.766306</w:t>
            </w:r>
          </w:p>
        </w:tc>
      </w:tr>
      <w:tr w:rsidR="00883296" w:rsidRPr="00883296" w14:paraId="7229DC94"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0B851012" w14:textId="77777777" w:rsidR="00883296" w:rsidRPr="00883296" w:rsidRDefault="00883296" w:rsidP="00883296">
            <w:pPr>
              <w:spacing w:after="0" w:line="240" w:lineRule="auto"/>
              <w:jc w:val="center"/>
              <w:rPr>
                <w:rFonts w:ascii="Aptos Display" w:eastAsia="Times New Roman" w:hAnsi="Aptos Display" w:cs="Times New Roman"/>
                <w:b/>
                <w:bCs/>
                <w:kern w:val="0"/>
                <w:sz w:val="24"/>
                <w:szCs w:val="24"/>
                <w:lang w:eastAsia="en-IN"/>
                <w14:ligatures w14:val="none"/>
              </w:rPr>
            </w:pPr>
            <w:r w:rsidRPr="00883296">
              <w:rPr>
                <w:rFonts w:ascii="Aptos Display" w:eastAsia="Times New Roman" w:hAnsi="Aptos Display" w:cs="Times New Roman"/>
                <w:b/>
                <w:bCs/>
                <w:kern w:val="0"/>
                <w:sz w:val="24"/>
                <w:szCs w:val="24"/>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0AC63D49" w14:textId="77777777" w:rsidR="00883296" w:rsidRPr="00883296" w:rsidRDefault="00883296" w:rsidP="00883296">
            <w:pPr>
              <w:spacing w:after="0" w:line="240" w:lineRule="auto"/>
              <w:jc w:val="right"/>
              <w:rPr>
                <w:rFonts w:ascii="Aptos Display" w:eastAsia="Times New Roman" w:hAnsi="Aptos Display" w:cs="Times New Roman"/>
                <w:b/>
                <w:bCs/>
                <w:kern w:val="0"/>
                <w:sz w:val="24"/>
                <w:szCs w:val="24"/>
                <w:lang w:eastAsia="en-IN"/>
                <w14:ligatures w14:val="none"/>
              </w:rPr>
            </w:pPr>
            <w:r w:rsidRPr="00883296">
              <w:rPr>
                <w:rFonts w:ascii="Aptos Display" w:eastAsia="Times New Roman" w:hAnsi="Aptos Display" w:cs="Times New Roman"/>
                <w:b/>
                <w:bCs/>
                <w:kern w:val="0"/>
                <w:sz w:val="24"/>
                <w:szCs w:val="24"/>
                <w:lang w:eastAsia="en-IN"/>
                <w14:ligatures w14:val="none"/>
              </w:rPr>
              <w:t>0.000000</w:t>
            </w:r>
          </w:p>
        </w:tc>
      </w:tr>
      <w:tr w:rsidR="00883296" w:rsidRPr="00883296" w14:paraId="51595E7F"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4B000969" w14:textId="77777777" w:rsidR="00883296" w:rsidRPr="00883296" w:rsidRDefault="00883296" w:rsidP="00883296">
            <w:pPr>
              <w:spacing w:after="0" w:line="240" w:lineRule="auto"/>
              <w:jc w:val="center"/>
              <w:rPr>
                <w:rFonts w:ascii="Aptos Display" w:eastAsia="Times New Roman" w:hAnsi="Aptos Display" w:cs="Times New Roman"/>
                <w:b/>
                <w:bCs/>
                <w:kern w:val="0"/>
                <w:sz w:val="24"/>
                <w:szCs w:val="24"/>
                <w:lang w:eastAsia="en-IN"/>
                <w14:ligatures w14:val="none"/>
              </w:rPr>
            </w:pPr>
            <w:r w:rsidRPr="00883296">
              <w:rPr>
                <w:rFonts w:ascii="Aptos Display" w:eastAsia="Times New Roman" w:hAnsi="Aptos Display" w:cs="Times New Roman"/>
                <w:b/>
                <w:bCs/>
                <w:kern w:val="0"/>
                <w:sz w:val="24"/>
                <w:szCs w:val="24"/>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5B75CD7F" w14:textId="77777777" w:rsidR="00883296" w:rsidRPr="00883296" w:rsidRDefault="00883296" w:rsidP="00883296">
            <w:pPr>
              <w:spacing w:after="0" w:line="240" w:lineRule="auto"/>
              <w:jc w:val="right"/>
              <w:rPr>
                <w:rFonts w:ascii="Aptos Display" w:eastAsia="Times New Roman" w:hAnsi="Aptos Display" w:cs="Times New Roman"/>
                <w:b/>
                <w:bCs/>
                <w:kern w:val="0"/>
                <w:sz w:val="24"/>
                <w:szCs w:val="24"/>
                <w:lang w:eastAsia="en-IN"/>
                <w14:ligatures w14:val="none"/>
              </w:rPr>
            </w:pPr>
            <w:r w:rsidRPr="00883296">
              <w:rPr>
                <w:rFonts w:ascii="Aptos Display" w:eastAsia="Times New Roman" w:hAnsi="Aptos Display" w:cs="Times New Roman"/>
                <w:b/>
                <w:bCs/>
                <w:kern w:val="0"/>
                <w:sz w:val="24"/>
                <w:szCs w:val="24"/>
                <w:lang w:eastAsia="en-IN"/>
                <w14:ligatures w14:val="none"/>
              </w:rPr>
              <w:t>0.000000</w:t>
            </w:r>
          </w:p>
        </w:tc>
      </w:tr>
      <w:tr w:rsidR="00883296" w:rsidRPr="00883296" w14:paraId="0B100C04"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6C8B1469"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E9AFE07"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567.500000</w:t>
            </w:r>
          </w:p>
        </w:tc>
      </w:tr>
      <w:tr w:rsidR="00883296" w:rsidRPr="00883296" w14:paraId="4C2951EB"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01A9B525"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lastRenderedPageBreak/>
              <w:t>75%</w:t>
            </w:r>
          </w:p>
        </w:tc>
        <w:tc>
          <w:tcPr>
            <w:tcW w:w="0" w:type="auto"/>
            <w:tcBorders>
              <w:top w:val="nil"/>
              <w:left w:val="nil"/>
              <w:bottom w:val="nil"/>
              <w:right w:val="nil"/>
            </w:tcBorders>
            <w:tcMar>
              <w:top w:w="120" w:type="dxa"/>
              <w:left w:w="120" w:type="dxa"/>
              <w:bottom w:w="120" w:type="dxa"/>
              <w:right w:w="120" w:type="dxa"/>
            </w:tcMar>
            <w:vAlign w:val="center"/>
            <w:hideMark/>
          </w:tcPr>
          <w:p w14:paraId="66970F0D"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4914.000000</w:t>
            </w:r>
          </w:p>
        </w:tc>
      </w:tr>
      <w:tr w:rsidR="00883296" w:rsidRPr="00883296" w14:paraId="4072045D" w14:textId="77777777" w:rsidTr="00883296">
        <w:tc>
          <w:tcPr>
            <w:tcW w:w="0" w:type="auto"/>
            <w:tcBorders>
              <w:top w:val="nil"/>
              <w:left w:val="nil"/>
              <w:bottom w:val="nil"/>
              <w:right w:val="nil"/>
            </w:tcBorders>
            <w:tcMar>
              <w:top w:w="120" w:type="dxa"/>
              <w:left w:w="120" w:type="dxa"/>
              <w:bottom w:w="120" w:type="dxa"/>
              <w:right w:w="120" w:type="dxa"/>
            </w:tcMar>
            <w:vAlign w:val="center"/>
            <w:hideMark/>
          </w:tcPr>
          <w:p w14:paraId="683894C3" w14:textId="77777777" w:rsidR="00883296" w:rsidRPr="00883296" w:rsidRDefault="00883296" w:rsidP="00883296">
            <w:pPr>
              <w:spacing w:after="0" w:line="240" w:lineRule="auto"/>
              <w:jc w:val="center"/>
              <w:rPr>
                <w:rFonts w:ascii="Aptos Display" w:eastAsia="Times New Roman" w:hAnsi="Aptos Display" w:cs="Times New Roman"/>
                <w:b/>
                <w:bCs/>
                <w:kern w:val="0"/>
                <w:sz w:val="20"/>
                <w:szCs w:val="20"/>
                <w:lang w:eastAsia="en-IN"/>
                <w14:ligatures w14:val="none"/>
              </w:rPr>
            </w:pPr>
            <w:r w:rsidRPr="00883296">
              <w:rPr>
                <w:rFonts w:ascii="Aptos Display" w:eastAsia="Times New Roman" w:hAnsi="Aptos Display" w:cs="Times New Roman"/>
                <w:b/>
                <w:bCs/>
                <w:kern w:val="0"/>
                <w:sz w:val="20"/>
                <w:szCs w:val="20"/>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5DAFE85C" w14:textId="77777777" w:rsidR="00883296" w:rsidRPr="00883296" w:rsidRDefault="00883296" w:rsidP="00883296">
            <w:pPr>
              <w:spacing w:after="0" w:line="240" w:lineRule="auto"/>
              <w:jc w:val="right"/>
              <w:rPr>
                <w:rFonts w:ascii="Aptos Display" w:eastAsia="Times New Roman" w:hAnsi="Aptos Display" w:cs="Times New Roman"/>
                <w:kern w:val="0"/>
                <w:sz w:val="20"/>
                <w:szCs w:val="20"/>
                <w:lang w:eastAsia="en-IN"/>
                <w14:ligatures w14:val="none"/>
              </w:rPr>
            </w:pPr>
            <w:r w:rsidRPr="00883296">
              <w:rPr>
                <w:rFonts w:ascii="Aptos Display" w:eastAsia="Times New Roman" w:hAnsi="Aptos Display" w:cs="Times New Roman"/>
                <w:kern w:val="0"/>
                <w:sz w:val="20"/>
                <w:szCs w:val="20"/>
                <w:lang w:eastAsia="en-IN"/>
                <w14:ligatures w14:val="none"/>
              </w:rPr>
              <w:t>7255.000000</w:t>
            </w:r>
          </w:p>
        </w:tc>
      </w:tr>
    </w:tbl>
    <w:p w14:paraId="03B04CD5" w14:textId="2077DCF0" w:rsidR="00883296" w:rsidRDefault="00883296" w:rsidP="00883296">
      <w:pPr>
        <w:tabs>
          <w:tab w:val="left" w:pos="1364"/>
        </w:tabs>
      </w:pPr>
      <w:r>
        <w:rPr>
          <w:noProof/>
        </w:rPr>
        <w:drawing>
          <wp:anchor distT="0" distB="0" distL="114300" distR="114300" simplePos="0" relativeHeight="251658240" behindDoc="0" locked="0" layoutInCell="1" allowOverlap="1" wp14:anchorId="6BC6D8BF" wp14:editId="0BA86736">
            <wp:simplePos x="914400" y="2341418"/>
            <wp:positionH relativeFrom="column">
              <wp:align>left</wp:align>
            </wp:positionH>
            <wp:positionV relativeFrom="paragraph">
              <wp:align>top</wp:align>
            </wp:positionV>
            <wp:extent cx="2609578" cy="1870364"/>
            <wp:effectExtent l="0" t="0" r="635" b="0"/>
            <wp:wrapSquare wrapText="bothSides"/>
            <wp:docPr id="311300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578" cy="1870364"/>
                    </a:xfrm>
                    <a:prstGeom prst="rect">
                      <a:avLst/>
                    </a:prstGeom>
                    <a:noFill/>
                    <a:ln>
                      <a:noFill/>
                    </a:ln>
                  </pic:spPr>
                </pic:pic>
              </a:graphicData>
            </a:graphic>
          </wp:anchor>
        </w:drawing>
      </w:r>
      <w:r>
        <w:tab/>
      </w:r>
      <w:r>
        <w:rPr>
          <w:noProof/>
        </w:rPr>
        <w:drawing>
          <wp:inline distT="0" distB="0" distL="0" distR="0" wp14:anchorId="1A5EED7B" wp14:editId="4F23377F">
            <wp:extent cx="2445327" cy="1752640"/>
            <wp:effectExtent l="0" t="0" r="0" b="0"/>
            <wp:docPr id="734972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146" cy="1766128"/>
                    </a:xfrm>
                    <a:prstGeom prst="rect">
                      <a:avLst/>
                    </a:prstGeom>
                    <a:noFill/>
                    <a:ln>
                      <a:noFill/>
                    </a:ln>
                  </pic:spPr>
                </pic:pic>
              </a:graphicData>
            </a:graphic>
          </wp:inline>
        </w:drawing>
      </w:r>
      <w:r>
        <w:br w:type="textWrapping" w:clear="all"/>
      </w:r>
      <w:r w:rsidRPr="00883296">
        <w:t xml:space="preserve">A quarter of all recorded days had </w:t>
      </w:r>
      <w:r w:rsidRPr="00883296">
        <w:rPr>
          <w:b/>
          <w:bCs/>
        </w:rPr>
        <w:t>zero school journeys</w:t>
      </w:r>
      <w:r w:rsidRPr="00883296">
        <w:t>, and the median is quite low (567).</w:t>
      </w:r>
      <w:r w:rsidRPr="00883296">
        <w:br/>
        <w:t xml:space="preserve">This indicates that school buses are either </w:t>
      </w:r>
      <w:r w:rsidRPr="00883296">
        <w:rPr>
          <w:b/>
          <w:bCs/>
        </w:rPr>
        <w:t>non-operational on weekends/holidays</w:t>
      </w:r>
      <w:r w:rsidRPr="00883296">
        <w:t xml:space="preserve">, or were </w:t>
      </w:r>
      <w:r w:rsidRPr="00883296">
        <w:rPr>
          <w:b/>
          <w:bCs/>
        </w:rPr>
        <w:t>temporarily halted</w:t>
      </w:r>
      <w:r w:rsidRPr="00883296">
        <w:t xml:space="preserve"> (possibly due to COVID closures).</w:t>
      </w:r>
      <w:r w:rsidRPr="00883296">
        <w:br/>
        <w:t xml:space="preserve">This is critical for understanding </w:t>
      </w:r>
      <w:r w:rsidRPr="00883296">
        <w:rPr>
          <w:b/>
          <w:bCs/>
        </w:rPr>
        <w:t>demand planning</w:t>
      </w:r>
      <w:r w:rsidRPr="00883296">
        <w:t>, especially for seasonal forecasting.</w:t>
      </w:r>
    </w:p>
    <w:p w14:paraId="37FAB0D8" w14:textId="77777777" w:rsidR="004707EC" w:rsidRDefault="004707EC" w:rsidP="00883296">
      <w:pPr>
        <w:tabs>
          <w:tab w:val="left" w:pos="1364"/>
        </w:tabs>
      </w:pPr>
    </w:p>
    <w:p w14:paraId="07248130" w14:textId="3E8B2E48" w:rsidR="004707EC" w:rsidRPr="000049F6" w:rsidRDefault="004707EC" w:rsidP="00883296">
      <w:pPr>
        <w:tabs>
          <w:tab w:val="left" w:pos="1364"/>
        </w:tabs>
        <w:rPr>
          <w:b/>
          <w:bCs/>
        </w:rPr>
      </w:pPr>
      <w:r w:rsidRPr="004707EC">
        <w:rPr>
          <w:b/>
          <w:bCs/>
        </w:rPr>
        <w:t>--------------------------------------------------------------------------------------------------------------------------------------</w:t>
      </w:r>
    </w:p>
    <w:p w14:paraId="08FCADAF" w14:textId="77777777" w:rsidR="000049F6" w:rsidRPr="000049F6" w:rsidRDefault="000049F6" w:rsidP="000049F6">
      <w:pPr>
        <w:rPr>
          <w:b/>
          <w:bCs/>
        </w:rPr>
      </w:pPr>
      <w:r w:rsidRPr="000049F6">
        <w:rPr>
          <w:b/>
          <w:bCs/>
        </w:rPr>
        <w:t xml:space="preserve">3. Peak vs Non-Peak </w:t>
      </w:r>
      <w:proofErr w:type="spellStart"/>
      <w:r w:rsidRPr="000049F6">
        <w:rPr>
          <w:b/>
          <w:bCs/>
        </w:rPr>
        <w:t>Behavior</w:t>
      </w:r>
      <w:proofErr w:type="spellEnd"/>
    </w:p>
    <w:p w14:paraId="609FD808" w14:textId="77777777" w:rsidR="000049F6" w:rsidRPr="000049F6" w:rsidRDefault="000049F6" w:rsidP="000049F6">
      <w:pPr>
        <w:numPr>
          <w:ilvl w:val="0"/>
          <w:numId w:val="4"/>
        </w:numPr>
      </w:pPr>
      <w:r w:rsidRPr="000049F6">
        <w:t xml:space="preserve">The Peak Service column shows </w:t>
      </w:r>
      <w:r w:rsidRPr="000049F6">
        <w:rPr>
          <w:b/>
          <w:bCs/>
        </w:rPr>
        <w:t>many zero values</w:t>
      </w:r>
      <w:r w:rsidRPr="000049F6">
        <w:t xml:space="preserve"> (25th percentile = 0).</w:t>
      </w:r>
    </w:p>
    <w:p w14:paraId="6F2F935B" w14:textId="77777777" w:rsidR="000049F6" w:rsidRDefault="000049F6" w:rsidP="000049F6">
      <w:pPr>
        <w:numPr>
          <w:ilvl w:val="0"/>
          <w:numId w:val="4"/>
        </w:numPr>
      </w:pPr>
      <w:r w:rsidRPr="000049F6">
        <w:t xml:space="preserve">This indicates </w:t>
      </w:r>
      <w:r w:rsidRPr="000049F6">
        <w:rPr>
          <w:b/>
          <w:bCs/>
        </w:rPr>
        <w:t>not all routes are designated for peak hour services daily</w:t>
      </w:r>
      <w:r w:rsidRPr="000049F6">
        <w:t>, and the number spikes during working days.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6"/>
        <w:gridCol w:w="1336"/>
      </w:tblGrid>
      <w:tr w:rsidR="00883296" w:rsidRPr="00883296" w14:paraId="12D92321" w14:textId="77777777" w:rsidTr="00883296">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E7205" w14:textId="1C4AECCE" w:rsidR="00883296" w:rsidRPr="00883296" w:rsidRDefault="00883296" w:rsidP="00883296">
            <w:pPr>
              <w:rPr>
                <w:rFonts w:ascii="Arial" w:hAnsi="Arial" w:cs="Arial"/>
                <w:b/>
                <w:bCs/>
                <w:sz w:val="18"/>
                <w:szCs w:val="18"/>
              </w:rPr>
            </w:pPr>
          </w:p>
        </w:tc>
      </w:tr>
      <w:tr w:rsidR="00883296" w:rsidRPr="00883296" w14:paraId="0BF1230C"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255F63"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C92DDC"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1918.000000</w:t>
            </w:r>
          </w:p>
        </w:tc>
      </w:tr>
      <w:tr w:rsidR="00883296" w:rsidRPr="00883296" w14:paraId="0A502487"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DA39D5"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97C3E"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179.581335</w:t>
            </w:r>
          </w:p>
        </w:tc>
      </w:tr>
      <w:tr w:rsidR="00883296" w:rsidRPr="00883296" w14:paraId="5F145561"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9605E4"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6CD42A"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156.532738</w:t>
            </w:r>
          </w:p>
        </w:tc>
      </w:tr>
      <w:tr w:rsidR="00883296" w:rsidRPr="00883296" w14:paraId="77028CB4"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1C4979" w14:textId="77777777" w:rsidR="00883296" w:rsidRPr="00883296" w:rsidRDefault="00883296" w:rsidP="00883296">
            <w:pPr>
              <w:rPr>
                <w:rFonts w:ascii="Aptos Display" w:hAnsi="Aptos Display" w:cs="Arial"/>
                <w:b/>
                <w:bCs/>
                <w:sz w:val="24"/>
                <w:szCs w:val="24"/>
              </w:rPr>
            </w:pPr>
            <w:r w:rsidRPr="00883296">
              <w:rPr>
                <w:rFonts w:ascii="Aptos Display" w:hAnsi="Aptos Display" w:cs="Arial"/>
                <w:b/>
                <w:bCs/>
                <w:sz w:val="24"/>
                <w:szCs w:val="24"/>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B7BA1" w14:textId="77777777" w:rsidR="00883296" w:rsidRPr="00883296" w:rsidRDefault="00883296" w:rsidP="00883296">
            <w:pPr>
              <w:rPr>
                <w:rFonts w:ascii="Aptos Display" w:hAnsi="Aptos Display" w:cs="Arial"/>
                <w:b/>
                <w:bCs/>
                <w:sz w:val="24"/>
                <w:szCs w:val="24"/>
              </w:rPr>
            </w:pPr>
            <w:r w:rsidRPr="00883296">
              <w:rPr>
                <w:rFonts w:ascii="Aptos Display" w:hAnsi="Aptos Display" w:cs="Arial"/>
                <w:b/>
                <w:bCs/>
                <w:sz w:val="24"/>
                <w:szCs w:val="24"/>
              </w:rPr>
              <w:t>0.000000</w:t>
            </w:r>
          </w:p>
        </w:tc>
      </w:tr>
      <w:tr w:rsidR="00883296" w:rsidRPr="00883296" w14:paraId="51E07CC9"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CBE97" w14:textId="77777777" w:rsidR="00883296" w:rsidRPr="00883296" w:rsidRDefault="00883296" w:rsidP="00883296">
            <w:pPr>
              <w:rPr>
                <w:rFonts w:ascii="Aptos Display" w:hAnsi="Aptos Display" w:cs="Arial"/>
                <w:b/>
                <w:bCs/>
                <w:sz w:val="24"/>
                <w:szCs w:val="24"/>
              </w:rPr>
            </w:pPr>
            <w:r w:rsidRPr="00883296">
              <w:rPr>
                <w:rFonts w:ascii="Aptos Display" w:hAnsi="Aptos Display" w:cs="Arial"/>
                <w:b/>
                <w:bCs/>
                <w:sz w:val="24"/>
                <w:szCs w:val="2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888198" w14:textId="77777777" w:rsidR="00883296" w:rsidRPr="00883296" w:rsidRDefault="00883296" w:rsidP="00883296">
            <w:pPr>
              <w:rPr>
                <w:rFonts w:ascii="Aptos Display" w:hAnsi="Aptos Display" w:cs="Arial"/>
                <w:b/>
                <w:bCs/>
                <w:sz w:val="24"/>
                <w:szCs w:val="24"/>
              </w:rPr>
            </w:pPr>
            <w:r w:rsidRPr="00883296">
              <w:rPr>
                <w:rFonts w:ascii="Aptos Display" w:hAnsi="Aptos Display" w:cs="Arial"/>
                <w:b/>
                <w:bCs/>
                <w:sz w:val="24"/>
                <w:szCs w:val="24"/>
              </w:rPr>
              <w:t>0.000000</w:t>
            </w:r>
          </w:p>
        </w:tc>
      </w:tr>
      <w:tr w:rsidR="00883296" w:rsidRPr="00883296" w14:paraId="34571672"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1FF952"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C9182"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193.000000</w:t>
            </w:r>
          </w:p>
        </w:tc>
      </w:tr>
      <w:tr w:rsidR="00883296" w:rsidRPr="00883296" w14:paraId="5695C515"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4F4AD"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B3B7C"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313.750000</w:t>
            </w:r>
          </w:p>
        </w:tc>
      </w:tr>
      <w:tr w:rsidR="00883296" w:rsidRPr="00883296" w14:paraId="5EE135EB" w14:textId="77777777" w:rsidTr="008832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6A9F1" w14:textId="77777777" w:rsidR="00883296" w:rsidRPr="00883296" w:rsidRDefault="00883296" w:rsidP="00883296">
            <w:pPr>
              <w:rPr>
                <w:rFonts w:ascii="Aptos Display" w:hAnsi="Aptos Display" w:cs="Arial"/>
                <w:b/>
                <w:bCs/>
                <w:sz w:val="20"/>
                <w:szCs w:val="20"/>
              </w:rPr>
            </w:pPr>
            <w:r w:rsidRPr="00883296">
              <w:rPr>
                <w:rFonts w:ascii="Aptos Display" w:hAnsi="Aptos Display" w:cs="Arial"/>
                <w:b/>
                <w:bCs/>
                <w:sz w:val="20"/>
                <w:szCs w:val="20"/>
              </w:rPr>
              <w:lastRenderedPageBreak/>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A2714B" w14:textId="77777777" w:rsidR="00883296" w:rsidRPr="00883296" w:rsidRDefault="00883296" w:rsidP="00883296">
            <w:pPr>
              <w:rPr>
                <w:rFonts w:ascii="Aptos Display" w:hAnsi="Aptos Display" w:cs="Arial"/>
                <w:sz w:val="20"/>
                <w:szCs w:val="20"/>
              </w:rPr>
            </w:pPr>
            <w:r w:rsidRPr="00883296">
              <w:rPr>
                <w:rFonts w:ascii="Aptos Display" w:hAnsi="Aptos Display" w:cs="Arial"/>
                <w:sz w:val="20"/>
                <w:szCs w:val="20"/>
              </w:rPr>
              <w:t>1029.000000</w:t>
            </w:r>
          </w:p>
        </w:tc>
      </w:tr>
    </w:tbl>
    <w:p w14:paraId="1F4EB858" w14:textId="17E79EBB" w:rsidR="00883296" w:rsidRDefault="00B25306" w:rsidP="00B25306">
      <w:pPr>
        <w:tabs>
          <w:tab w:val="left" w:pos="753"/>
        </w:tabs>
      </w:pPr>
      <w:r>
        <w:rPr>
          <w:noProof/>
        </w:rPr>
        <w:drawing>
          <wp:anchor distT="0" distB="0" distL="114300" distR="114300" simplePos="0" relativeHeight="251659264" behindDoc="0" locked="0" layoutInCell="1" allowOverlap="1" wp14:anchorId="5E6519BD" wp14:editId="3A3218B0">
            <wp:simplePos x="914400" y="949036"/>
            <wp:positionH relativeFrom="column">
              <wp:align>left</wp:align>
            </wp:positionH>
            <wp:positionV relativeFrom="paragraph">
              <wp:align>top</wp:align>
            </wp:positionV>
            <wp:extent cx="2903306" cy="1731819"/>
            <wp:effectExtent l="0" t="0" r="0" b="1905"/>
            <wp:wrapSquare wrapText="bothSides"/>
            <wp:docPr id="1521696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306" cy="1731819"/>
                    </a:xfrm>
                    <a:prstGeom prst="rect">
                      <a:avLst/>
                    </a:prstGeom>
                    <a:noFill/>
                    <a:ln>
                      <a:noFill/>
                    </a:ln>
                  </pic:spPr>
                </pic:pic>
              </a:graphicData>
            </a:graphic>
          </wp:anchor>
        </w:drawing>
      </w:r>
      <w:r>
        <w:tab/>
      </w:r>
      <w:r>
        <w:tab/>
      </w:r>
      <w:r>
        <w:rPr>
          <w:noProof/>
        </w:rPr>
        <w:drawing>
          <wp:inline distT="0" distB="0" distL="0" distR="0" wp14:anchorId="310932FB" wp14:editId="74389827">
            <wp:extent cx="2029083" cy="1617345"/>
            <wp:effectExtent l="0" t="0" r="9525" b="1905"/>
            <wp:docPr id="1207986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1150" cy="1642905"/>
                    </a:xfrm>
                    <a:prstGeom prst="rect">
                      <a:avLst/>
                    </a:prstGeom>
                    <a:noFill/>
                    <a:ln>
                      <a:noFill/>
                    </a:ln>
                  </pic:spPr>
                </pic:pic>
              </a:graphicData>
            </a:graphic>
          </wp:inline>
        </w:drawing>
      </w:r>
      <w:r>
        <w:br w:type="textWrapping" w:clear="all"/>
      </w:r>
      <w:r w:rsidRPr="00B25306">
        <w:t xml:space="preserve">Using statistical summary and day-of-week grouping, I found that 25% of records had 0 journeys in Peak Service, and the majority of activity is concentrated on weekdays. This aligns with commuter patterns and informs us that </w:t>
      </w:r>
      <w:r w:rsidRPr="00B25306">
        <w:rPr>
          <w:b/>
          <w:bCs/>
        </w:rPr>
        <w:t>Peak Services are likely tied to working days</w:t>
      </w:r>
      <w:r w:rsidRPr="00B25306">
        <w:t>, allowing us to optimize resource allocation and fleet management accordingly</w:t>
      </w:r>
      <w:r>
        <w:t>.</w:t>
      </w:r>
    </w:p>
    <w:p w14:paraId="21D3ED59" w14:textId="21FA3FAC" w:rsidR="004707EC" w:rsidRPr="000049F6" w:rsidRDefault="004707EC" w:rsidP="00B25306">
      <w:pPr>
        <w:tabs>
          <w:tab w:val="left" w:pos="753"/>
        </w:tabs>
        <w:rPr>
          <w:b/>
          <w:bCs/>
        </w:rPr>
      </w:pPr>
      <w:r>
        <w:rPr>
          <w:b/>
          <w:bCs/>
        </w:rPr>
        <w:t>--------------------------------------------------------------------------------------------------------------------------------------</w:t>
      </w:r>
    </w:p>
    <w:p w14:paraId="0F34EBD8" w14:textId="77777777" w:rsidR="000049F6" w:rsidRPr="000049F6" w:rsidRDefault="000049F6" w:rsidP="000049F6">
      <w:pPr>
        <w:rPr>
          <w:b/>
          <w:bCs/>
        </w:rPr>
      </w:pPr>
      <w:r w:rsidRPr="000049F6">
        <w:rPr>
          <w:b/>
          <w:bCs/>
        </w:rPr>
        <w:t>4. 'Other' Transport Types Are Outliers</w:t>
      </w:r>
    </w:p>
    <w:p w14:paraId="7C487297" w14:textId="77777777" w:rsidR="000049F6" w:rsidRPr="000049F6" w:rsidRDefault="000049F6" w:rsidP="000049F6">
      <w:pPr>
        <w:numPr>
          <w:ilvl w:val="0"/>
          <w:numId w:val="5"/>
        </w:numPr>
      </w:pPr>
      <w:r w:rsidRPr="000049F6">
        <w:t xml:space="preserve">The Other column shows a </w:t>
      </w:r>
      <w:r w:rsidRPr="000049F6">
        <w:rPr>
          <w:b/>
          <w:bCs/>
        </w:rPr>
        <w:t>max value of 1,105</w:t>
      </w:r>
      <w:r w:rsidRPr="000049F6">
        <w:t xml:space="preserve">, while the 75th percentile is just </w:t>
      </w:r>
      <w:r w:rsidRPr="000049F6">
        <w:rPr>
          <w:b/>
          <w:bCs/>
        </w:rPr>
        <w:t>68</w:t>
      </w:r>
      <w:r w:rsidRPr="000049F6">
        <w:t>.</w:t>
      </w:r>
    </w:p>
    <w:p w14:paraId="026102BF" w14:textId="77777777" w:rsidR="000049F6" w:rsidRDefault="000049F6" w:rsidP="000049F6">
      <w:pPr>
        <w:numPr>
          <w:ilvl w:val="0"/>
          <w:numId w:val="5"/>
        </w:numPr>
      </w:pPr>
      <w:r w:rsidRPr="000049F6">
        <w:t xml:space="preserve">This is a </w:t>
      </w:r>
      <w:r w:rsidRPr="000049F6">
        <w:rPr>
          <w:b/>
          <w:bCs/>
        </w:rPr>
        <w:t>highly skewed distribution</w:t>
      </w:r>
      <w:r w:rsidRPr="000049F6">
        <w:t xml:space="preserve">, indicating </w:t>
      </w:r>
      <w:r w:rsidRPr="000049F6">
        <w:rPr>
          <w:b/>
          <w:bCs/>
        </w:rPr>
        <w:t>occasional surges in lesser-known services</w:t>
      </w:r>
      <w:r w:rsidRPr="000049F6">
        <w:t>, perhaps during events or emergency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7"/>
        <w:gridCol w:w="1336"/>
      </w:tblGrid>
      <w:tr w:rsidR="00B25306" w:rsidRPr="00B25306" w14:paraId="13EFF985" w14:textId="77777777" w:rsidTr="00B25306">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9019E"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Other</w:t>
            </w:r>
          </w:p>
        </w:tc>
      </w:tr>
      <w:tr w:rsidR="00B25306" w:rsidRPr="00B25306" w14:paraId="471C5274"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4251A"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5042B7"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1898.000000</w:t>
            </w:r>
          </w:p>
        </w:tc>
      </w:tr>
      <w:tr w:rsidR="00B25306" w:rsidRPr="00B25306" w14:paraId="45B45E45"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93FC2B"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DB0CC"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43.390411</w:t>
            </w:r>
          </w:p>
        </w:tc>
      </w:tr>
      <w:tr w:rsidR="00B25306" w:rsidRPr="00B25306" w14:paraId="2E0F95A2"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166F1"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6F846"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41.746882</w:t>
            </w:r>
          </w:p>
        </w:tc>
      </w:tr>
      <w:tr w:rsidR="00B25306" w:rsidRPr="00B25306" w14:paraId="442E21A8"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C399A" w14:textId="77777777" w:rsidR="00B25306" w:rsidRPr="00B25306" w:rsidRDefault="00B25306" w:rsidP="00B25306">
            <w:pPr>
              <w:rPr>
                <w:rFonts w:ascii="Aptos Display" w:hAnsi="Aptos Display"/>
                <w:b/>
                <w:bCs/>
                <w:sz w:val="24"/>
                <w:szCs w:val="24"/>
              </w:rPr>
            </w:pPr>
            <w:r w:rsidRPr="00B25306">
              <w:rPr>
                <w:rFonts w:ascii="Aptos Display" w:hAnsi="Aptos Display"/>
                <w:b/>
                <w:bCs/>
                <w:sz w:val="24"/>
                <w:szCs w:val="24"/>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A82F0" w14:textId="77777777" w:rsidR="00B25306" w:rsidRPr="00B25306" w:rsidRDefault="00B25306" w:rsidP="00B25306">
            <w:pPr>
              <w:rPr>
                <w:rFonts w:ascii="Aptos Display" w:hAnsi="Aptos Display"/>
                <w:b/>
                <w:bCs/>
                <w:sz w:val="24"/>
                <w:szCs w:val="24"/>
              </w:rPr>
            </w:pPr>
            <w:r w:rsidRPr="00B25306">
              <w:rPr>
                <w:rFonts w:ascii="Aptos Display" w:hAnsi="Aptos Display"/>
                <w:b/>
                <w:bCs/>
                <w:sz w:val="24"/>
                <w:szCs w:val="24"/>
              </w:rPr>
              <w:t>0.000000</w:t>
            </w:r>
          </w:p>
        </w:tc>
      </w:tr>
      <w:tr w:rsidR="00B25306" w:rsidRPr="00B25306" w14:paraId="727C87F8"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DF629"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94B59"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14.000000</w:t>
            </w:r>
          </w:p>
        </w:tc>
      </w:tr>
      <w:tr w:rsidR="00B25306" w:rsidRPr="00B25306" w14:paraId="3E685A72"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7931DA"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A3C4D"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40.000000</w:t>
            </w:r>
          </w:p>
        </w:tc>
      </w:tr>
      <w:tr w:rsidR="00B25306" w:rsidRPr="00B25306" w14:paraId="709EEE09"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2A6A6"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A002FA"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68.000000</w:t>
            </w:r>
          </w:p>
        </w:tc>
      </w:tr>
      <w:tr w:rsidR="00B25306" w:rsidRPr="00B25306" w14:paraId="1307CB72" w14:textId="77777777" w:rsidTr="00B25306">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1C1EB879" w14:textId="77777777" w:rsidR="00B25306" w:rsidRPr="00B25306" w:rsidRDefault="00B25306" w:rsidP="00B25306">
            <w:pPr>
              <w:rPr>
                <w:rFonts w:ascii="Aptos Display" w:hAnsi="Aptos Display"/>
                <w:b/>
                <w:bCs/>
                <w:sz w:val="20"/>
                <w:szCs w:val="20"/>
              </w:rPr>
            </w:pPr>
            <w:r w:rsidRPr="00B25306">
              <w:rPr>
                <w:rFonts w:ascii="Aptos Display" w:hAnsi="Aptos Display"/>
                <w:b/>
                <w:bCs/>
                <w:sz w:val="20"/>
                <w:szCs w:val="20"/>
              </w:rPr>
              <w:t>max</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6197AE55" w14:textId="77777777" w:rsidR="00B25306" w:rsidRPr="00B25306" w:rsidRDefault="00B25306" w:rsidP="00B25306">
            <w:pPr>
              <w:rPr>
                <w:rFonts w:ascii="Aptos Display" w:hAnsi="Aptos Display"/>
                <w:sz w:val="20"/>
                <w:szCs w:val="20"/>
              </w:rPr>
            </w:pPr>
            <w:r w:rsidRPr="00B25306">
              <w:rPr>
                <w:rFonts w:ascii="Aptos Display" w:hAnsi="Aptos Display"/>
                <w:sz w:val="20"/>
                <w:szCs w:val="20"/>
              </w:rPr>
              <w:t>1105.000000</w:t>
            </w:r>
          </w:p>
        </w:tc>
      </w:tr>
    </w:tbl>
    <w:p w14:paraId="25936E17" w14:textId="77777777" w:rsidR="00B25306" w:rsidRDefault="00B25306" w:rsidP="00B25306"/>
    <w:p w14:paraId="7944E3DB" w14:textId="7DB19CBD" w:rsidR="00B25306" w:rsidRDefault="00B25306" w:rsidP="00B25306">
      <w:pPr>
        <w:tabs>
          <w:tab w:val="left" w:pos="742"/>
        </w:tabs>
      </w:pPr>
      <w:r>
        <w:rPr>
          <w:noProof/>
        </w:rPr>
        <w:lastRenderedPageBreak/>
        <w:drawing>
          <wp:anchor distT="0" distB="0" distL="114300" distR="114300" simplePos="0" relativeHeight="251660288" behindDoc="0" locked="0" layoutInCell="1" allowOverlap="1" wp14:anchorId="4DBCA789" wp14:editId="5A651DE4">
            <wp:simplePos x="914400" y="949036"/>
            <wp:positionH relativeFrom="column">
              <wp:align>left</wp:align>
            </wp:positionH>
            <wp:positionV relativeFrom="paragraph">
              <wp:align>top</wp:align>
            </wp:positionV>
            <wp:extent cx="2809775" cy="1808019"/>
            <wp:effectExtent l="0" t="0" r="0" b="1905"/>
            <wp:wrapSquare wrapText="bothSides"/>
            <wp:docPr id="1132716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9775" cy="1808019"/>
                    </a:xfrm>
                    <a:prstGeom prst="rect">
                      <a:avLst/>
                    </a:prstGeom>
                    <a:noFill/>
                    <a:ln>
                      <a:noFill/>
                    </a:ln>
                  </pic:spPr>
                </pic:pic>
              </a:graphicData>
            </a:graphic>
          </wp:anchor>
        </w:drawing>
      </w:r>
      <w:r>
        <w:tab/>
      </w:r>
      <w:r>
        <w:rPr>
          <w:noProof/>
        </w:rPr>
        <w:drawing>
          <wp:inline distT="0" distB="0" distL="0" distR="0" wp14:anchorId="1B93B5B7" wp14:editId="0C70B1E4">
            <wp:extent cx="2521527" cy="1539567"/>
            <wp:effectExtent l="0" t="0" r="0" b="3810"/>
            <wp:docPr id="21359050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4145" cy="1547271"/>
                    </a:xfrm>
                    <a:prstGeom prst="rect">
                      <a:avLst/>
                    </a:prstGeom>
                    <a:noFill/>
                    <a:ln>
                      <a:noFill/>
                    </a:ln>
                  </pic:spPr>
                </pic:pic>
              </a:graphicData>
            </a:graphic>
          </wp:inline>
        </w:drawing>
      </w:r>
    </w:p>
    <w:p w14:paraId="544854D4" w14:textId="2995F781" w:rsidR="00B25306" w:rsidRDefault="00B25306" w:rsidP="00B25306">
      <w:r>
        <w:br w:type="textWrapping" w:clear="all"/>
      </w:r>
    </w:p>
    <w:p w14:paraId="6E452F48" w14:textId="1F6008C6" w:rsidR="00B25306" w:rsidRDefault="00B25306" w:rsidP="00B25306">
      <w:r w:rsidRPr="00B25306">
        <w:t xml:space="preserve">The 'Other' service category shows a </w:t>
      </w:r>
      <w:r w:rsidRPr="00B25306">
        <w:rPr>
          <w:b/>
          <w:bCs/>
        </w:rPr>
        <w:t>highly skewed distribution — with median = 0 and max = 1105</w:t>
      </w:r>
      <w:r w:rsidRPr="00B25306">
        <w:t xml:space="preserve"> — suggesting that it mostly remains unused but occasionally sees significant spikes, likely due to event-based or emergency transport operations. This highlights the importance of treating this category separately in forecasting models to avoid overfitting to rare outliers.</w:t>
      </w:r>
    </w:p>
    <w:p w14:paraId="1E900A7D" w14:textId="3D79EBE8" w:rsidR="004707EC" w:rsidRPr="000049F6" w:rsidRDefault="004707EC" w:rsidP="00B25306">
      <w:r>
        <w:t>--------------------------------------------------------------------------------------------------------------------------------------</w:t>
      </w:r>
    </w:p>
    <w:p w14:paraId="5EB2FE7A" w14:textId="77777777" w:rsidR="000049F6" w:rsidRPr="000049F6" w:rsidRDefault="000049F6" w:rsidP="000049F6">
      <w:pPr>
        <w:rPr>
          <w:b/>
          <w:bCs/>
        </w:rPr>
      </w:pPr>
      <w:r w:rsidRPr="000049F6">
        <w:rPr>
          <w:b/>
          <w:bCs/>
        </w:rPr>
        <w:t>5. Rapid Routes Dominate</w:t>
      </w:r>
    </w:p>
    <w:p w14:paraId="13D964CB" w14:textId="77777777" w:rsidR="000049F6" w:rsidRDefault="000049F6" w:rsidP="000049F6">
      <w:pPr>
        <w:numPr>
          <w:ilvl w:val="0"/>
          <w:numId w:val="6"/>
        </w:numPr>
      </w:pPr>
      <w:r w:rsidRPr="000049F6">
        <w:t xml:space="preserve">Rapid Route has the </w:t>
      </w:r>
      <w:r w:rsidRPr="000049F6">
        <w:rPr>
          <w:b/>
          <w:bCs/>
        </w:rPr>
        <w:t>highest mean and max values</w:t>
      </w:r>
      <w:r w:rsidRPr="000049F6">
        <w:t xml:space="preserve"> across all types, with a max of </w:t>
      </w:r>
      <w:r w:rsidRPr="000049F6">
        <w:rPr>
          <w:b/>
          <w:bCs/>
        </w:rPr>
        <w:t>28,678</w:t>
      </w:r>
      <w:r w:rsidRPr="000049F6">
        <w:t xml:space="preserve">, suggesting it is </w:t>
      </w:r>
      <w:r w:rsidRPr="000049F6">
        <w:rPr>
          <w:b/>
          <w:bCs/>
        </w:rPr>
        <w:t>the backbone of the transport system</w:t>
      </w:r>
      <w:r w:rsidRPr="000049F6">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1"/>
        <w:gridCol w:w="1800"/>
        <w:gridCol w:w="1277"/>
      </w:tblGrid>
      <w:tr w:rsidR="00B25306" w:rsidRPr="00B25306" w14:paraId="1F1FF56E" w14:textId="77777777" w:rsidTr="00B25306">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82A189"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b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7BF2D7"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max</w:t>
            </w:r>
          </w:p>
        </w:tc>
      </w:tr>
      <w:tr w:rsidR="00B25306" w:rsidRPr="00B25306" w14:paraId="4E662C2A"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72FD7"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Rapid Route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930B65"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12597.213243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8F5AF"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28678.0</w:t>
            </w:r>
          </w:p>
        </w:tc>
      </w:tr>
      <w:tr w:rsidR="00B25306" w:rsidRPr="00B25306" w14:paraId="1B4C4F36"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B92F2F"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Local Route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53F571"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9891.395203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FBC1F2"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21070.0</w:t>
            </w:r>
          </w:p>
        </w:tc>
      </w:tr>
      <w:tr w:rsidR="00B25306" w:rsidRPr="00B25306" w14:paraId="775998FF"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78C7A"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Light Rail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5178F"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7195.446298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5B0B9"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15154.0</w:t>
            </w:r>
          </w:p>
        </w:tc>
      </w:tr>
      <w:tr w:rsidR="00B25306" w:rsidRPr="00B25306" w14:paraId="1FFF0881"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F6F24"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677F55"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2352.694995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CD61D"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7255.0</w:t>
            </w:r>
          </w:p>
        </w:tc>
      </w:tr>
      <w:tr w:rsidR="00B25306" w:rsidRPr="00B25306" w14:paraId="67C86217" w14:textId="77777777" w:rsidTr="00B2530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F5FAFB"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Peak Service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A38EA"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179.581335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638A8"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1029.0</w:t>
            </w:r>
          </w:p>
        </w:tc>
      </w:tr>
      <w:tr w:rsidR="00B25306" w:rsidRPr="00B25306" w14:paraId="4979A89F" w14:textId="77777777" w:rsidTr="00B25306">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0D67FD20"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Other</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69667643"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43.390411</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1AD3C6AD" w14:textId="77777777" w:rsidR="00B25306" w:rsidRPr="00B25306" w:rsidRDefault="00B25306" w:rsidP="00B25306">
            <w:pPr>
              <w:ind w:left="360"/>
              <w:rPr>
                <w:rFonts w:ascii="Aptos Display" w:hAnsi="Aptos Display"/>
                <w:sz w:val="20"/>
                <w:szCs w:val="20"/>
              </w:rPr>
            </w:pPr>
            <w:r w:rsidRPr="00B25306">
              <w:rPr>
                <w:rFonts w:ascii="Aptos Display" w:hAnsi="Aptos Display"/>
                <w:sz w:val="20"/>
                <w:szCs w:val="20"/>
              </w:rPr>
              <w:t>1105.0</w:t>
            </w:r>
          </w:p>
        </w:tc>
      </w:tr>
      <w:tr w:rsidR="004707EC" w:rsidRPr="00B25306" w14:paraId="376AAC85" w14:textId="77777777" w:rsidTr="00B25306">
        <w:tc>
          <w:tcPr>
            <w:tcW w:w="0" w:type="auto"/>
            <w:tcBorders>
              <w:top w:val="nil"/>
              <w:left w:val="nil"/>
              <w:bottom w:val="nil"/>
              <w:right w:val="nil"/>
            </w:tcBorders>
            <w:shd w:val="clear" w:color="auto" w:fill="EEEEEE"/>
            <w:tcMar>
              <w:top w:w="120" w:type="dxa"/>
              <w:left w:w="120" w:type="dxa"/>
              <w:bottom w:w="120" w:type="dxa"/>
              <w:right w:w="120" w:type="dxa"/>
            </w:tcMar>
            <w:vAlign w:val="center"/>
          </w:tcPr>
          <w:p w14:paraId="5651643D" w14:textId="77777777" w:rsidR="004707EC" w:rsidRPr="00B25306" w:rsidRDefault="004707EC" w:rsidP="004707EC">
            <w:pPr>
              <w:rPr>
                <w:rFonts w:ascii="Aptos Display" w:hAnsi="Aptos Display"/>
                <w:sz w:val="20"/>
                <w:szCs w:val="20"/>
              </w:rPr>
            </w:pPr>
          </w:p>
        </w:tc>
        <w:tc>
          <w:tcPr>
            <w:tcW w:w="0" w:type="auto"/>
            <w:tcBorders>
              <w:top w:val="nil"/>
              <w:left w:val="nil"/>
              <w:bottom w:val="nil"/>
              <w:right w:val="nil"/>
            </w:tcBorders>
            <w:shd w:val="clear" w:color="auto" w:fill="EEEEEE"/>
            <w:tcMar>
              <w:top w:w="120" w:type="dxa"/>
              <w:left w:w="120" w:type="dxa"/>
              <w:bottom w:w="120" w:type="dxa"/>
              <w:right w:w="120" w:type="dxa"/>
            </w:tcMar>
            <w:vAlign w:val="center"/>
          </w:tcPr>
          <w:p w14:paraId="0B7F5A78" w14:textId="77777777" w:rsidR="004707EC" w:rsidRPr="00B25306" w:rsidRDefault="004707EC" w:rsidP="00B25306">
            <w:pPr>
              <w:ind w:left="360"/>
              <w:rPr>
                <w:rFonts w:ascii="Aptos Display" w:hAnsi="Aptos Display"/>
                <w:sz w:val="20"/>
                <w:szCs w:val="20"/>
              </w:rPr>
            </w:pPr>
          </w:p>
        </w:tc>
        <w:tc>
          <w:tcPr>
            <w:tcW w:w="0" w:type="auto"/>
            <w:tcBorders>
              <w:top w:val="nil"/>
              <w:left w:val="nil"/>
              <w:bottom w:val="nil"/>
              <w:right w:val="nil"/>
            </w:tcBorders>
            <w:shd w:val="clear" w:color="auto" w:fill="EEEEEE"/>
            <w:tcMar>
              <w:top w:w="120" w:type="dxa"/>
              <w:left w:w="120" w:type="dxa"/>
              <w:bottom w:w="120" w:type="dxa"/>
              <w:right w:w="120" w:type="dxa"/>
            </w:tcMar>
            <w:vAlign w:val="center"/>
          </w:tcPr>
          <w:p w14:paraId="2FBE6D0F" w14:textId="77777777" w:rsidR="004707EC" w:rsidRPr="00B25306" w:rsidRDefault="004707EC" w:rsidP="00B25306">
            <w:pPr>
              <w:ind w:left="360"/>
              <w:rPr>
                <w:rFonts w:ascii="Aptos Display" w:hAnsi="Aptos Display"/>
                <w:sz w:val="20"/>
                <w:szCs w:val="20"/>
              </w:rPr>
            </w:pPr>
          </w:p>
        </w:tc>
      </w:tr>
    </w:tbl>
    <w:p w14:paraId="604F41D5" w14:textId="3AC85483" w:rsidR="004707EC" w:rsidRPr="004707EC" w:rsidRDefault="004707EC" w:rsidP="004707EC">
      <w:pPr>
        <w:pStyle w:val="ListParagraph"/>
        <w:numPr>
          <w:ilvl w:val="0"/>
          <w:numId w:val="6"/>
        </w:numPr>
      </w:pPr>
      <w:r w:rsidRPr="004707EC">
        <w:t>Rapid Route has the highest average daily ridership (mean).</w:t>
      </w:r>
    </w:p>
    <w:p w14:paraId="5B9D6CC8" w14:textId="181BC6AD" w:rsidR="004707EC" w:rsidRPr="004707EC" w:rsidRDefault="004707EC" w:rsidP="004707EC">
      <w:pPr>
        <w:pStyle w:val="ListParagraph"/>
        <w:numPr>
          <w:ilvl w:val="0"/>
          <w:numId w:val="6"/>
        </w:numPr>
      </w:pPr>
      <w:r w:rsidRPr="004707EC">
        <w:t>It also has the highest single-day count (max = 28,678).</w:t>
      </w:r>
    </w:p>
    <w:p w14:paraId="41631DC8" w14:textId="715C533B" w:rsidR="004707EC" w:rsidRPr="004707EC" w:rsidRDefault="004707EC" w:rsidP="004707EC">
      <w:pPr>
        <w:pStyle w:val="ListParagraph"/>
        <w:numPr>
          <w:ilvl w:val="0"/>
          <w:numId w:val="6"/>
        </w:numPr>
      </w:pPr>
      <w:r w:rsidRPr="004707EC">
        <w:t>These values are significantly higher than any other service type.</w:t>
      </w:r>
    </w:p>
    <w:p w14:paraId="6A435164" w14:textId="77777777" w:rsidR="004707EC" w:rsidRDefault="004707EC" w:rsidP="004707EC"/>
    <w:p w14:paraId="34FE2919" w14:textId="77777777" w:rsidR="004707EC" w:rsidRDefault="004707EC" w:rsidP="004707EC"/>
    <w:p w14:paraId="3D4FDBC5" w14:textId="77777777" w:rsidR="004707EC" w:rsidRDefault="004707EC" w:rsidP="004707EC"/>
    <w:p w14:paraId="5FC78B5C" w14:textId="157B7BFA" w:rsidR="00B25306" w:rsidRDefault="004707EC" w:rsidP="004707EC">
      <w:r w:rsidRPr="004707EC">
        <w:t xml:space="preserve">The ‘Rapid Route’ service stands out as the </w:t>
      </w:r>
      <w:r w:rsidRPr="004707EC">
        <w:rPr>
          <w:b/>
          <w:bCs/>
        </w:rPr>
        <w:t>most critical component of the transport network, with a mean daily ridership of over 19,000 and a maximum exceeding 28,000</w:t>
      </w:r>
      <w:r w:rsidRPr="004707EC">
        <w:t xml:space="preserve"> — significantly higher than any other service. This trend was confirmed by both statistical comparison and time series visualization, suggesting that Rapid Routes form the backbone of the system’s mobility infrastructure</w:t>
      </w:r>
    </w:p>
    <w:p w14:paraId="123CAA39" w14:textId="095BFFAC" w:rsidR="00B05FB7" w:rsidRDefault="000049F6">
      <w:pPr>
        <w:rPr>
          <w:noProof/>
        </w:rPr>
      </w:pPr>
      <w:r>
        <w:rPr>
          <w:noProof/>
        </w:rPr>
        <w:drawing>
          <wp:inline distT="0" distB="0" distL="0" distR="0" wp14:anchorId="64E3FB05" wp14:editId="6D76908D">
            <wp:extent cx="5731510" cy="2419350"/>
            <wp:effectExtent l="0" t="0" r="2540" b="0"/>
            <wp:docPr id="427246325"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0341B103" w14:textId="77777777" w:rsidR="004707EC" w:rsidRPr="004707EC" w:rsidRDefault="004707EC" w:rsidP="004707EC"/>
    <w:p w14:paraId="0007D0C5" w14:textId="77777777" w:rsidR="004707EC" w:rsidRDefault="004707EC" w:rsidP="004707EC">
      <w:pPr>
        <w:rPr>
          <w:noProof/>
        </w:rPr>
      </w:pPr>
    </w:p>
    <w:p w14:paraId="355425CE" w14:textId="77777777" w:rsidR="004707EC" w:rsidRDefault="004707EC" w:rsidP="004707EC"/>
    <w:p w14:paraId="3AF1AEA1" w14:textId="77777777" w:rsidR="004707EC" w:rsidRDefault="004707EC" w:rsidP="004707EC"/>
    <w:p w14:paraId="7C9C6F85" w14:textId="77777777" w:rsidR="004707EC" w:rsidRDefault="004707EC" w:rsidP="004707EC"/>
    <w:p w14:paraId="7DFDCAD3" w14:textId="77777777" w:rsidR="004707EC" w:rsidRDefault="004707EC" w:rsidP="004707EC"/>
    <w:p w14:paraId="1742E5A8" w14:textId="77777777" w:rsidR="004707EC" w:rsidRDefault="004707EC" w:rsidP="004707EC"/>
    <w:p w14:paraId="17AE25EE" w14:textId="77777777" w:rsidR="004707EC" w:rsidRDefault="004707EC" w:rsidP="004707EC"/>
    <w:p w14:paraId="6D7FE026" w14:textId="77777777" w:rsidR="004707EC" w:rsidRDefault="004707EC" w:rsidP="004707EC"/>
    <w:p w14:paraId="3966A456" w14:textId="77777777" w:rsidR="004707EC" w:rsidRDefault="004707EC" w:rsidP="004707EC"/>
    <w:p w14:paraId="78989604" w14:textId="77777777" w:rsidR="004707EC" w:rsidRDefault="004707EC" w:rsidP="004707EC"/>
    <w:p w14:paraId="32A64D3C" w14:textId="77777777" w:rsidR="004707EC" w:rsidRDefault="004707EC" w:rsidP="004707EC"/>
    <w:p w14:paraId="29DDA344" w14:textId="77777777" w:rsidR="004707EC" w:rsidRDefault="004707EC" w:rsidP="004707EC"/>
    <w:p w14:paraId="786FC4A9" w14:textId="77777777" w:rsidR="004707EC" w:rsidRDefault="004707EC" w:rsidP="004707EC"/>
    <w:p w14:paraId="76BFF6F2" w14:textId="77777777" w:rsidR="004707EC" w:rsidRDefault="004707EC" w:rsidP="004707EC"/>
    <w:p w14:paraId="4A17B9A6" w14:textId="77777777" w:rsidR="004707EC" w:rsidRDefault="004707EC" w:rsidP="004707EC"/>
    <w:p w14:paraId="4678E88E" w14:textId="77777777" w:rsidR="004707EC" w:rsidRDefault="004707EC" w:rsidP="004707EC"/>
    <w:p w14:paraId="394B9900" w14:textId="77777777" w:rsidR="004707EC" w:rsidRDefault="004707EC" w:rsidP="004707EC"/>
    <w:p w14:paraId="4A4420F1" w14:textId="216C3B35" w:rsidR="004707EC" w:rsidRPr="004707EC" w:rsidRDefault="004707EC" w:rsidP="004707EC">
      <w:pPr>
        <w:rPr>
          <w:b/>
          <w:bCs/>
        </w:rPr>
      </w:pPr>
      <w:r w:rsidRPr="004707EC">
        <w:rPr>
          <w:b/>
          <w:bCs/>
        </w:rPr>
        <w:lastRenderedPageBreak/>
        <w:t xml:space="preserve">Technical Report </w:t>
      </w:r>
      <w:r w:rsidRPr="004707EC">
        <w:rPr>
          <w:b/>
          <w:bCs/>
        </w:rPr>
        <w:t>public transport forecast task using Prophet</w:t>
      </w:r>
      <w:r w:rsidRPr="004707EC">
        <w:rPr>
          <w:b/>
          <w:bCs/>
        </w:rPr>
        <w:t xml:space="preserve">: </w:t>
      </w:r>
    </w:p>
    <w:p w14:paraId="71E63ABD" w14:textId="77777777" w:rsidR="004707EC" w:rsidRPr="004707EC" w:rsidRDefault="004707EC" w:rsidP="004707EC">
      <w:r w:rsidRPr="004707EC">
        <w:rPr>
          <w:b/>
          <w:bCs/>
        </w:rPr>
        <w:t>Objective</w:t>
      </w:r>
      <w:r w:rsidRPr="004707EC">
        <w:br/>
        <w:t>To forecast daily public transport passenger journeys for five service types—Local Route, Light Rail, Peak Service, Rapid Route, and School—for the next 7 days using Facebook Prophet, a robust time series forecasting algorithm.</w:t>
      </w:r>
    </w:p>
    <w:p w14:paraId="28684A44" w14:textId="77777777" w:rsidR="004707EC" w:rsidRPr="004707EC" w:rsidRDefault="004707EC" w:rsidP="004707EC">
      <w:r w:rsidRPr="004707EC">
        <w:rPr>
          <w:b/>
          <w:bCs/>
        </w:rPr>
        <w:t>Why Prophet?</w:t>
      </w:r>
      <w:r w:rsidRPr="004707EC">
        <w:br/>
        <w:t>Facebook Prophet is an open-source time series forecasting model developed by Meta that is:</w:t>
      </w:r>
    </w:p>
    <w:p w14:paraId="43F5D1DE" w14:textId="77777777" w:rsidR="004707EC" w:rsidRPr="004707EC" w:rsidRDefault="004707EC" w:rsidP="004707EC">
      <w:pPr>
        <w:numPr>
          <w:ilvl w:val="0"/>
          <w:numId w:val="16"/>
        </w:numPr>
      </w:pPr>
      <w:r w:rsidRPr="004707EC">
        <w:t>Designed to handle missing data and outliers</w:t>
      </w:r>
    </w:p>
    <w:p w14:paraId="48811035" w14:textId="77777777" w:rsidR="004707EC" w:rsidRPr="004707EC" w:rsidRDefault="004707EC" w:rsidP="004707EC">
      <w:pPr>
        <w:numPr>
          <w:ilvl w:val="0"/>
          <w:numId w:val="16"/>
        </w:numPr>
      </w:pPr>
      <w:r w:rsidRPr="004707EC">
        <w:t xml:space="preserve">Capable of </w:t>
      </w:r>
      <w:proofErr w:type="spellStart"/>
      <w:r w:rsidRPr="004707EC">
        <w:t>modeling</w:t>
      </w:r>
      <w:proofErr w:type="spellEnd"/>
      <w:r w:rsidRPr="004707EC">
        <w:t xml:space="preserve"> seasonality (daily, weekly, yearly)</w:t>
      </w:r>
    </w:p>
    <w:p w14:paraId="1A57A3F0" w14:textId="77777777" w:rsidR="004707EC" w:rsidRPr="004707EC" w:rsidRDefault="004707EC" w:rsidP="004707EC">
      <w:pPr>
        <w:numPr>
          <w:ilvl w:val="0"/>
          <w:numId w:val="16"/>
        </w:numPr>
      </w:pPr>
      <w:r w:rsidRPr="004707EC">
        <w:t>Interpretable and easy to tune</w:t>
      </w:r>
    </w:p>
    <w:p w14:paraId="2F38EA22" w14:textId="77777777" w:rsidR="004707EC" w:rsidRPr="004707EC" w:rsidRDefault="004707EC" w:rsidP="004707EC">
      <w:pPr>
        <w:numPr>
          <w:ilvl w:val="0"/>
          <w:numId w:val="16"/>
        </w:numPr>
      </w:pPr>
      <w:r w:rsidRPr="004707EC">
        <w:t>Well-suited for business time series with strong seasonal effects</w:t>
      </w:r>
    </w:p>
    <w:p w14:paraId="357AD9D1" w14:textId="77777777" w:rsidR="004707EC" w:rsidRPr="004707EC" w:rsidRDefault="004707EC" w:rsidP="004707EC">
      <w:pPr>
        <w:rPr>
          <w:b/>
          <w:bCs/>
        </w:rPr>
      </w:pPr>
      <w:r w:rsidRPr="004707EC">
        <w:rPr>
          <w:b/>
          <w:bCs/>
        </w:rPr>
        <w:t>Data Preparation</w:t>
      </w:r>
    </w:p>
    <w:p w14:paraId="4502FAFF" w14:textId="77777777" w:rsidR="004707EC" w:rsidRPr="004707EC" w:rsidRDefault="004707EC" w:rsidP="004707EC">
      <w:pPr>
        <w:numPr>
          <w:ilvl w:val="0"/>
          <w:numId w:val="17"/>
        </w:numPr>
      </w:pPr>
      <w:r w:rsidRPr="004707EC">
        <w:t>Dataset: Historical records of daily passenger journeys by service type</w:t>
      </w:r>
    </w:p>
    <w:p w14:paraId="1E63DAD6" w14:textId="77777777" w:rsidR="004707EC" w:rsidRPr="004707EC" w:rsidRDefault="004707EC" w:rsidP="004707EC">
      <w:pPr>
        <w:numPr>
          <w:ilvl w:val="0"/>
          <w:numId w:val="17"/>
        </w:numPr>
      </w:pPr>
      <w:r w:rsidRPr="004707EC">
        <w:t>Parsing: Converted Date column into datetime format</w:t>
      </w:r>
    </w:p>
    <w:p w14:paraId="77CF012E" w14:textId="77777777" w:rsidR="004707EC" w:rsidRPr="004707EC" w:rsidRDefault="004707EC" w:rsidP="004707EC">
      <w:pPr>
        <w:numPr>
          <w:ilvl w:val="0"/>
          <w:numId w:val="17"/>
        </w:numPr>
      </w:pPr>
      <w:r w:rsidRPr="004707EC">
        <w:t>Selected features: Only Date and individual service columns (one at a time)</w:t>
      </w:r>
    </w:p>
    <w:p w14:paraId="5B6D3FD0" w14:textId="77777777" w:rsidR="004707EC" w:rsidRPr="004707EC" w:rsidRDefault="004707EC" w:rsidP="004707EC">
      <w:pPr>
        <w:numPr>
          <w:ilvl w:val="0"/>
          <w:numId w:val="17"/>
        </w:numPr>
      </w:pPr>
      <w:r w:rsidRPr="004707EC">
        <w:t>Missing values: Removed rows with missing values for each service independently</w:t>
      </w:r>
    </w:p>
    <w:p w14:paraId="09360361" w14:textId="77777777" w:rsidR="004707EC" w:rsidRPr="004707EC" w:rsidRDefault="004707EC" w:rsidP="004707EC">
      <w:proofErr w:type="spellStart"/>
      <w:r w:rsidRPr="004707EC">
        <w:rPr>
          <w:b/>
          <w:bCs/>
        </w:rPr>
        <w:t>Modeling</w:t>
      </w:r>
      <w:proofErr w:type="spellEnd"/>
      <w:r w:rsidRPr="004707EC">
        <w:rPr>
          <w:b/>
          <w:bCs/>
        </w:rPr>
        <w:t xml:space="preserve"> Approach</w:t>
      </w:r>
      <w:r w:rsidRPr="004707EC">
        <w:br/>
        <w:t>For each service type, the following steps were followed:</w:t>
      </w:r>
    </w:p>
    <w:p w14:paraId="782C5A88" w14:textId="77777777" w:rsidR="004707EC" w:rsidRPr="004707EC" w:rsidRDefault="004707EC" w:rsidP="004707EC">
      <w:pPr>
        <w:numPr>
          <w:ilvl w:val="0"/>
          <w:numId w:val="18"/>
        </w:numPr>
      </w:pPr>
      <w:r w:rsidRPr="004707EC">
        <w:t>Rename the columns to Prophet's expected format:</w:t>
      </w:r>
    </w:p>
    <w:p w14:paraId="5899F962" w14:textId="77777777" w:rsidR="004707EC" w:rsidRPr="004707EC" w:rsidRDefault="004707EC" w:rsidP="004707EC">
      <w:pPr>
        <w:numPr>
          <w:ilvl w:val="1"/>
          <w:numId w:val="18"/>
        </w:numPr>
      </w:pPr>
      <w:r w:rsidRPr="004707EC">
        <w:t>ds → Date</w:t>
      </w:r>
    </w:p>
    <w:p w14:paraId="260106AF" w14:textId="77777777" w:rsidR="004707EC" w:rsidRPr="004707EC" w:rsidRDefault="004707EC" w:rsidP="004707EC">
      <w:pPr>
        <w:numPr>
          <w:ilvl w:val="1"/>
          <w:numId w:val="18"/>
        </w:numPr>
      </w:pPr>
      <w:r w:rsidRPr="004707EC">
        <w:t>y → Target variable (passenger journeys)</w:t>
      </w:r>
    </w:p>
    <w:p w14:paraId="106A3880" w14:textId="77777777" w:rsidR="004707EC" w:rsidRPr="004707EC" w:rsidRDefault="004707EC" w:rsidP="004707EC">
      <w:pPr>
        <w:numPr>
          <w:ilvl w:val="0"/>
          <w:numId w:val="18"/>
        </w:numPr>
      </w:pPr>
      <w:r w:rsidRPr="004707EC">
        <w:t>Initialize the model:</w:t>
      </w:r>
      <w:r w:rsidRPr="004707EC">
        <w:br/>
      </w:r>
      <w:proofErr w:type="gramStart"/>
      <w:r w:rsidRPr="004707EC">
        <w:t>Prophet(</w:t>
      </w:r>
      <w:proofErr w:type="spellStart"/>
      <w:proofErr w:type="gramEnd"/>
      <w:r w:rsidRPr="004707EC">
        <w:t>daily_seasonality</w:t>
      </w:r>
      <w:proofErr w:type="spellEnd"/>
      <w:r w:rsidRPr="004707EC">
        <w:t xml:space="preserve">=True, </w:t>
      </w:r>
      <w:proofErr w:type="spellStart"/>
      <w:r w:rsidRPr="004707EC">
        <w:t>yearly_seasonality</w:t>
      </w:r>
      <w:proofErr w:type="spellEnd"/>
      <w:r w:rsidRPr="004707EC">
        <w:t>=True)</w:t>
      </w:r>
    </w:p>
    <w:p w14:paraId="56064092" w14:textId="77777777" w:rsidR="004707EC" w:rsidRPr="004707EC" w:rsidRDefault="004707EC" w:rsidP="004707EC">
      <w:pPr>
        <w:numPr>
          <w:ilvl w:val="0"/>
          <w:numId w:val="18"/>
        </w:numPr>
      </w:pPr>
      <w:r w:rsidRPr="004707EC">
        <w:t>Train on full historical data:</w:t>
      </w:r>
      <w:r w:rsidRPr="004707EC">
        <w:br/>
      </w:r>
      <w:proofErr w:type="spellStart"/>
      <w:r w:rsidRPr="004707EC">
        <w:t>model.fit</w:t>
      </w:r>
      <w:proofErr w:type="spellEnd"/>
      <w:r w:rsidRPr="004707EC">
        <w:t>(</w:t>
      </w:r>
      <w:proofErr w:type="spellStart"/>
      <w:r w:rsidRPr="004707EC">
        <w:t>service_df</w:t>
      </w:r>
      <w:proofErr w:type="spellEnd"/>
      <w:r w:rsidRPr="004707EC">
        <w:t>)</w:t>
      </w:r>
    </w:p>
    <w:p w14:paraId="48E7F21C" w14:textId="77777777" w:rsidR="004707EC" w:rsidRPr="004707EC" w:rsidRDefault="004707EC" w:rsidP="004707EC">
      <w:pPr>
        <w:numPr>
          <w:ilvl w:val="0"/>
          <w:numId w:val="18"/>
        </w:numPr>
      </w:pPr>
      <w:r w:rsidRPr="004707EC">
        <w:t>Generate future dates (7 days ahead):</w:t>
      </w:r>
      <w:r w:rsidRPr="004707EC">
        <w:br/>
      </w:r>
      <w:proofErr w:type="spellStart"/>
      <w:proofErr w:type="gramStart"/>
      <w:r w:rsidRPr="004707EC">
        <w:t>model.make</w:t>
      </w:r>
      <w:proofErr w:type="gramEnd"/>
      <w:r w:rsidRPr="004707EC">
        <w:t>_future_dataframe</w:t>
      </w:r>
      <w:proofErr w:type="spellEnd"/>
      <w:r w:rsidRPr="004707EC">
        <w:t>(periods=7)</w:t>
      </w:r>
    </w:p>
    <w:p w14:paraId="05400A8C" w14:textId="77777777" w:rsidR="004707EC" w:rsidRPr="004707EC" w:rsidRDefault="004707EC" w:rsidP="004707EC">
      <w:pPr>
        <w:numPr>
          <w:ilvl w:val="0"/>
          <w:numId w:val="18"/>
        </w:numPr>
      </w:pPr>
      <w:r w:rsidRPr="004707EC">
        <w:t xml:space="preserve">Forecast using </w:t>
      </w:r>
      <w:proofErr w:type="spellStart"/>
      <w:proofErr w:type="gramStart"/>
      <w:r w:rsidRPr="004707EC">
        <w:t>model.predict</w:t>
      </w:r>
      <w:proofErr w:type="spellEnd"/>
      <w:proofErr w:type="gramEnd"/>
      <w:r w:rsidRPr="004707EC">
        <w:t>()</w:t>
      </w:r>
    </w:p>
    <w:p w14:paraId="04E13F55" w14:textId="77777777" w:rsidR="004707EC" w:rsidRPr="004707EC" w:rsidRDefault="004707EC" w:rsidP="004707EC">
      <w:pPr>
        <w:numPr>
          <w:ilvl w:val="0"/>
          <w:numId w:val="18"/>
        </w:numPr>
      </w:pPr>
      <w:r w:rsidRPr="004707EC">
        <w:t>Extract forecast for next 7 days (</w:t>
      </w:r>
      <w:proofErr w:type="spellStart"/>
      <w:r w:rsidRPr="004707EC">
        <w:t>yhat</w:t>
      </w:r>
      <w:proofErr w:type="spellEnd"/>
      <w:r w:rsidRPr="004707EC">
        <w:t xml:space="preserve">, </w:t>
      </w:r>
      <w:proofErr w:type="spellStart"/>
      <w:r w:rsidRPr="004707EC">
        <w:t>yhat_lower</w:t>
      </w:r>
      <w:proofErr w:type="spellEnd"/>
      <w:r w:rsidRPr="004707EC">
        <w:t xml:space="preserve">, </w:t>
      </w:r>
      <w:proofErr w:type="spellStart"/>
      <w:r w:rsidRPr="004707EC">
        <w:t>yhat_upper</w:t>
      </w:r>
      <w:proofErr w:type="spellEnd"/>
      <w:r w:rsidRPr="004707EC">
        <w:t>)</w:t>
      </w:r>
    </w:p>
    <w:p w14:paraId="50474245" w14:textId="77777777" w:rsidR="004707EC" w:rsidRPr="004707EC" w:rsidRDefault="004707EC" w:rsidP="004707EC">
      <w:pPr>
        <w:numPr>
          <w:ilvl w:val="0"/>
          <w:numId w:val="18"/>
        </w:numPr>
      </w:pPr>
      <w:r w:rsidRPr="004707EC">
        <w:t>Append the service name to results and compile all forecasts</w:t>
      </w:r>
    </w:p>
    <w:p w14:paraId="58C63937" w14:textId="77777777" w:rsidR="004707EC" w:rsidRPr="004707EC" w:rsidRDefault="004707EC" w:rsidP="004707EC">
      <w:pPr>
        <w:rPr>
          <w:b/>
          <w:bCs/>
        </w:rPr>
      </w:pPr>
      <w:r w:rsidRPr="004707EC">
        <w:rPr>
          <w:b/>
          <w:bCs/>
        </w:rPr>
        <w:t>Model Parameters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gridCol w:w="2066"/>
      </w:tblGrid>
      <w:tr w:rsidR="004707EC" w:rsidRPr="004707EC" w14:paraId="16B928DD" w14:textId="77777777" w:rsidTr="004707EC">
        <w:trPr>
          <w:tblHeader/>
          <w:tblCellSpacing w:w="15" w:type="dxa"/>
        </w:trPr>
        <w:tc>
          <w:tcPr>
            <w:tcW w:w="0" w:type="auto"/>
            <w:vAlign w:val="center"/>
            <w:hideMark/>
          </w:tcPr>
          <w:p w14:paraId="478DDF40" w14:textId="77777777" w:rsidR="004707EC" w:rsidRPr="004707EC" w:rsidRDefault="004707EC" w:rsidP="004707EC">
            <w:pPr>
              <w:rPr>
                <w:b/>
                <w:bCs/>
              </w:rPr>
            </w:pPr>
            <w:r w:rsidRPr="004707EC">
              <w:rPr>
                <w:b/>
                <w:bCs/>
              </w:rPr>
              <w:t>Parameter</w:t>
            </w:r>
          </w:p>
        </w:tc>
        <w:tc>
          <w:tcPr>
            <w:tcW w:w="0" w:type="auto"/>
            <w:vAlign w:val="center"/>
            <w:hideMark/>
          </w:tcPr>
          <w:p w14:paraId="28BA8626" w14:textId="77777777" w:rsidR="004707EC" w:rsidRPr="004707EC" w:rsidRDefault="004707EC" w:rsidP="004707EC">
            <w:pPr>
              <w:rPr>
                <w:b/>
                <w:bCs/>
              </w:rPr>
            </w:pPr>
            <w:r w:rsidRPr="004707EC">
              <w:rPr>
                <w:b/>
                <w:bCs/>
              </w:rPr>
              <w:t>Value</w:t>
            </w:r>
          </w:p>
        </w:tc>
      </w:tr>
      <w:tr w:rsidR="004707EC" w:rsidRPr="004707EC" w14:paraId="590D1667" w14:textId="77777777" w:rsidTr="004707EC">
        <w:trPr>
          <w:tblCellSpacing w:w="15" w:type="dxa"/>
        </w:trPr>
        <w:tc>
          <w:tcPr>
            <w:tcW w:w="0" w:type="auto"/>
            <w:vAlign w:val="center"/>
            <w:hideMark/>
          </w:tcPr>
          <w:p w14:paraId="58615D95" w14:textId="77777777" w:rsidR="004707EC" w:rsidRPr="004707EC" w:rsidRDefault="004707EC" w:rsidP="004707EC">
            <w:proofErr w:type="spellStart"/>
            <w:r w:rsidRPr="004707EC">
              <w:t>daily_seasonality</w:t>
            </w:r>
            <w:proofErr w:type="spellEnd"/>
          </w:p>
        </w:tc>
        <w:tc>
          <w:tcPr>
            <w:tcW w:w="0" w:type="auto"/>
            <w:vAlign w:val="center"/>
            <w:hideMark/>
          </w:tcPr>
          <w:p w14:paraId="2A4FF8EB" w14:textId="77777777" w:rsidR="004707EC" w:rsidRPr="004707EC" w:rsidRDefault="004707EC" w:rsidP="004707EC">
            <w:r w:rsidRPr="004707EC">
              <w:t>True</w:t>
            </w:r>
          </w:p>
        </w:tc>
      </w:tr>
      <w:tr w:rsidR="004707EC" w:rsidRPr="004707EC" w14:paraId="1F5096C3" w14:textId="77777777" w:rsidTr="004707EC">
        <w:trPr>
          <w:tblCellSpacing w:w="15" w:type="dxa"/>
        </w:trPr>
        <w:tc>
          <w:tcPr>
            <w:tcW w:w="0" w:type="auto"/>
            <w:vAlign w:val="center"/>
            <w:hideMark/>
          </w:tcPr>
          <w:p w14:paraId="66214EBF" w14:textId="77777777" w:rsidR="004707EC" w:rsidRPr="004707EC" w:rsidRDefault="004707EC" w:rsidP="004707EC">
            <w:proofErr w:type="spellStart"/>
            <w:r w:rsidRPr="004707EC">
              <w:lastRenderedPageBreak/>
              <w:t>yearly_seasonality</w:t>
            </w:r>
            <w:proofErr w:type="spellEnd"/>
          </w:p>
        </w:tc>
        <w:tc>
          <w:tcPr>
            <w:tcW w:w="0" w:type="auto"/>
            <w:vAlign w:val="center"/>
            <w:hideMark/>
          </w:tcPr>
          <w:p w14:paraId="26D6F3B8" w14:textId="77777777" w:rsidR="004707EC" w:rsidRPr="004707EC" w:rsidRDefault="004707EC" w:rsidP="004707EC">
            <w:r w:rsidRPr="004707EC">
              <w:t>True</w:t>
            </w:r>
          </w:p>
        </w:tc>
      </w:tr>
      <w:tr w:rsidR="004707EC" w:rsidRPr="004707EC" w14:paraId="534D87D3" w14:textId="77777777" w:rsidTr="004707EC">
        <w:trPr>
          <w:tblCellSpacing w:w="15" w:type="dxa"/>
        </w:trPr>
        <w:tc>
          <w:tcPr>
            <w:tcW w:w="0" w:type="auto"/>
            <w:vAlign w:val="center"/>
            <w:hideMark/>
          </w:tcPr>
          <w:p w14:paraId="71B4842A" w14:textId="77777777" w:rsidR="004707EC" w:rsidRPr="004707EC" w:rsidRDefault="004707EC" w:rsidP="004707EC">
            <w:proofErr w:type="spellStart"/>
            <w:r w:rsidRPr="004707EC">
              <w:t>weekly_seasonality</w:t>
            </w:r>
            <w:proofErr w:type="spellEnd"/>
          </w:p>
        </w:tc>
        <w:tc>
          <w:tcPr>
            <w:tcW w:w="0" w:type="auto"/>
            <w:vAlign w:val="center"/>
            <w:hideMark/>
          </w:tcPr>
          <w:p w14:paraId="353F2A7B" w14:textId="77777777" w:rsidR="004707EC" w:rsidRPr="004707EC" w:rsidRDefault="004707EC" w:rsidP="004707EC">
            <w:r w:rsidRPr="004707EC">
              <w:t>Automatically inferred</w:t>
            </w:r>
          </w:p>
        </w:tc>
      </w:tr>
      <w:tr w:rsidR="004707EC" w:rsidRPr="004707EC" w14:paraId="08A058EC" w14:textId="77777777" w:rsidTr="004707EC">
        <w:trPr>
          <w:tblCellSpacing w:w="15" w:type="dxa"/>
        </w:trPr>
        <w:tc>
          <w:tcPr>
            <w:tcW w:w="0" w:type="auto"/>
            <w:vAlign w:val="center"/>
            <w:hideMark/>
          </w:tcPr>
          <w:p w14:paraId="60608D01" w14:textId="77777777" w:rsidR="004707EC" w:rsidRPr="004707EC" w:rsidRDefault="004707EC" w:rsidP="004707EC">
            <w:r w:rsidRPr="004707EC">
              <w:t>growth</w:t>
            </w:r>
          </w:p>
        </w:tc>
        <w:tc>
          <w:tcPr>
            <w:tcW w:w="0" w:type="auto"/>
            <w:vAlign w:val="center"/>
            <w:hideMark/>
          </w:tcPr>
          <w:p w14:paraId="730E5A05" w14:textId="77777777" w:rsidR="004707EC" w:rsidRPr="004707EC" w:rsidRDefault="004707EC" w:rsidP="004707EC">
            <w:r w:rsidRPr="004707EC">
              <w:t>Linear (default)</w:t>
            </w:r>
          </w:p>
        </w:tc>
      </w:tr>
      <w:tr w:rsidR="004707EC" w:rsidRPr="004707EC" w14:paraId="3FA569C5" w14:textId="77777777" w:rsidTr="004707EC">
        <w:trPr>
          <w:tblCellSpacing w:w="15" w:type="dxa"/>
        </w:trPr>
        <w:tc>
          <w:tcPr>
            <w:tcW w:w="0" w:type="auto"/>
            <w:vAlign w:val="center"/>
            <w:hideMark/>
          </w:tcPr>
          <w:p w14:paraId="0A8006D1" w14:textId="77777777" w:rsidR="004707EC" w:rsidRPr="004707EC" w:rsidRDefault="004707EC" w:rsidP="004707EC">
            <w:proofErr w:type="spellStart"/>
            <w:r w:rsidRPr="004707EC">
              <w:t>changepoint_prior_scale</w:t>
            </w:r>
            <w:proofErr w:type="spellEnd"/>
          </w:p>
        </w:tc>
        <w:tc>
          <w:tcPr>
            <w:tcW w:w="0" w:type="auto"/>
            <w:vAlign w:val="center"/>
            <w:hideMark/>
          </w:tcPr>
          <w:p w14:paraId="6C92326D" w14:textId="77777777" w:rsidR="004707EC" w:rsidRPr="004707EC" w:rsidRDefault="004707EC" w:rsidP="004707EC">
            <w:r w:rsidRPr="004707EC">
              <w:t>Default (0.05)</w:t>
            </w:r>
          </w:p>
        </w:tc>
      </w:tr>
    </w:tbl>
    <w:p w14:paraId="47D7933E" w14:textId="77777777" w:rsidR="004707EC" w:rsidRPr="004707EC" w:rsidRDefault="004707EC" w:rsidP="004707EC">
      <w:pPr>
        <w:rPr>
          <w:b/>
          <w:bCs/>
        </w:rPr>
      </w:pPr>
      <w:r w:rsidRPr="004707EC">
        <w:rPr>
          <w:b/>
          <w:bCs/>
        </w:rPr>
        <w:t>Insights from Forecasts</w:t>
      </w:r>
    </w:p>
    <w:p w14:paraId="343881D9" w14:textId="77777777" w:rsidR="004707EC" w:rsidRPr="004707EC" w:rsidRDefault="004707EC" w:rsidP="004707EC">
      <w:pPr>
        <w:numPr>
          <w:ilvl w:val="0"/>
          <w:numId w:val="19"/>
        </w:numPr>
      </w:pPr>
      <w:r w:rsidRPr="004707EC">
        <w:t>Local Route: Moderate consistent demand with weekend dips</w:t>
      </w:r>
    </w:p>
    <w:p w14:paraId="76DA30E1" w14:textId="77777777" w:rsidR="004707EC" w:rsidRPr="004707EC" w:rsidRDefault="004707EC" w:rsidP="004707EC">
      <w:pPr>
        <w:numPr>
          <w:ilvl w:val="0"/>
          <w:numId w:val="19"/>
        </w:numPr>
      </w:pPr>
      <w:r w:rsidRPr="004707EC">
        <w:t>Light Rail: Strong seasonality and recovery post-pandemic</w:t>
      </w:r>
    </w:p>
    <w:p w14:paraId="2B9219C8" w14:textId="77777777" w:rsidR="004707EC" w:rsidRPr="004707EC" w:rsidRDefault="004707EC" w:rsidP="004707EC">
      <w:pPr>
        <w:numPr>
          <w:ilvl w:val="0"/>
          <w:numId w:val="19"/>
        </w:numPr>
      </w:pPr>
      <w:r w:rsidRPr="004707EC">
        <w:t>Peak Service: High variance with weekday spikes and weekend troughs</w:t>
      </w:r>
    </w:p>
    <w:p w14:paraId="1EF3D2D1" w14:textId="77777777" w:rsidR="004707EC" w:rsidRPr="004707EC" w:rsidRDefault="004707EC" w:rsidP="004707EC">
      <w:pPr>
        <w:numPr>
          <w:ilvl w:val="0"/>
          <w:numId w:val="19"/>
        </w:numPr>
      </w:pPr>
      <w:r w:rsidRPr="004707EC">
        <w:t>Rapid Route: Consistently highest demand and critical for capacity planning</w:t>
      </w:r>
    </w:p>
    <w:p w14:paraId="0AEB6882" w14:textId="77777777" w:rsidR="004707EC" w:rsidRPr="004707EC" w:rsidRDefault="004707EC" w:rsidP="004707EC">
      <w:pPr>
        <w:numPr>
          <w:ilvl w:val="0"/>
          <w:numId w:val="19"/>
        </w:numPr>
      </w:pPr>
      <w:r w:rsidRPr="004707EC">
        <w:t>School: Low median journeys with frequent zero-demand days (likely holidays/weekends)</w:t>
      </w:r>
    </w:p>
    <w:p w14:paraId="0414E8C5" w14:textId="77777777" w:rsidR="004707EC" w:rsidRPr="004707EC" w:rsidRDefault="004707EC" w:rsidP="004707EC">
      <w:r w:rsidRPr="004707EC">
        <w:rPr>
          <w:b/>
          <w:bCs/>
        </w:rPr>
        <w:t>Output Format</w:t>
      </w:r>
      <w:r w:rsidRPr="004707EC">
        <w:br/>
        <w:t>The final forecast includes:</w:t>
      </w:r>
    </w:p>
    <w:p w14:paraId="3132811E" w14:textId="77777777" w:rsidR="004707EC" w:rsidRPr="004707EC" w:rsidRDefault="004707EC" w:rsidP="004707EC">
      <w:pPr>
        <w:numPr>
          <w:ilvl w:val="0"/>
          <w:numId w:val="20"/>
        </w:numPr>
      </w:pPr>
      <w:r w:rsidRPr="004707EC">
        <w:t>Date (ds)</w:t>
      </w:r>
    </w:p>
    <w:p w14:paraId="79903489" w14:textId="77777777" w:rsidR="004707EC" w:rsidRPr="004707EC" w:rsidRDefault="004707EC" w:rsidP="004707EC">
      <w:pPr>
        <w:numPr>
          <w:ilvl w:val="0"/>
          <w:numId w:val="20"/>
        </w:numPr>
      </w:pPr>
      <w:r w:rsidRPr="004707EC">
        <w:t>Service Type</w:t>
      </w:r>
    </w:p>
    <w:p w14:paraId="2C3C6767" w14:textId="77777777" w:rsidR="004707EC" w:rsidRPr="004707EC" w:rsidRDefault="004707EC" w:rsidP="004707EC">
      <w:pPr>
        <w:numPr>
          <w:ilvl w:val="0"/>
          <w:numId w:val="20"/>
        </w:numPr>
      </w:pPr>
      <w:proofErr w:type="spellStart"/>
      <w:r w:rsidRPr="004707EC">
        <w:t>yhat</w:t>
      </w:r>
      <w:proofErr w:type="spellEnd"/>
      <w:r w:rsidRPr="004707EC">
        <w:t>: Point forecast</w:t>
      </w:r>
    </w:p>
    <w:p w14:paraId="2457A92B" w14:textId="77777777" w:rsidR="004707EC" w:rsidRPr="004707EC" w:rsidRDefault="004707EC" w:rsidP="004707EC">
      <w:pPr>
        <w:numPr>
          <w:ilvl w:val="0"/>
          <w:numId w:val="20"/>
        </w:numPr>
      </w:pPr>
      <w:proofErr w:type="spellStart"/>
      <w:r w:rsidRPr="004707EC">
        <w:t>yhat_lower</w:t>
      </w:r>
      <w:proofErr w:type="spellEnd"/>
      <w:r w:rsidRPr="004707EC">
        <w:t>: Lower bound of prediction interval</w:t>
      </w:r>
    </w:p>
    <w:p w14:paraId="5201ACCA" w14:textId="77777777" w:rsidR="004707EC" w:rsidRPr="004707EC" w:rsidRDefault="004707EC" w:rsidP="004707EC">
      <w:pPr>
        <w:numPr>
          <w:ilvl w:val="0"/>
          <w:numId w:val="20"/>
        </w:numPr>
      </w:pPr>
      <w:proofErr w:type="spellStart"/>
      <w:r w:rsidRPr="004707EC">
        <w:t>yhat_upper</w:t>
      </w:r>
      <w:proofErr w:type="spellEnd"/>
      <w:r w:rsidRPr="004707EC">
        <w:t>: Upper bound of prediction interval</w:t>
      </w:r>
    </w:p>
    <w:p w14:paraId="254E96E1" w14:textId="77777777" w:rsidR="004707EC" w:rsidRPr="004707EC" w:rsidRDefault="004707EC" w:rsidP="004707EC">
      <w:r w:rsidRPr="004707EC">
        <w:t>Example Output (7-day Forecast)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201"/>
        <w:gridCol w:w="1905"/>
        <w:gridCol w:w="1268"/>
        <w:gridCol w:w="1290"/>
      </w:tblGrid>
      <w:tr w:rsidR="004707EC" w:rsidRPr="004707EC" w14:paraId="5C87F7DA" w14:textId="77777777" w:rsidTr="004707EC">
        <w:trPr>
          <w:tblHeader/>
          <w:tblCellSpacing w:w="15" w:type="dxa"/>
        </w:trPr>
        <w:tc>
          <w:tcPr>
            <w:tcW w:w="0" w:type="auto"/>
            <w:vAlign w:val="center"/>
            <w:hideMark/>
          </w:tcPr>
          <w:p w14:paraId="52FEF2E1" w14:textId="77777777" w:rsidR="004707EC" w:rsidRPr="004707EC" w:rsidRDefault="004707EC" w:rsidP="004707EC">
            <w:pPr>
              <w:rPr>
                <w:b/>
                <w:bCs/>
              </w:rPr>
            </w:pPr>
            <w:r w:rsidRPr="004707EC">
              <w:rPr>
                <w:b/>
                <w:bCs/>
              </w:rPr>
              <w:t>Date</w:t>
            </w:r>
          </w:p>
        </w:tc>
        <w:tc>
          <w:tcPr>
            <w:tcW w:w="0" w:type="auto"/>
            <w:vAlign w:val="center"/>
            <w:hideMark/>
          </w:tcPr>
          <w:p w14:paraId="19B883F9" w14:textId="77777777" w:rsidR="004707EC" w:rsidRPr="004707EC" w:rsidRDefault="004707EC" w:rsidP="004707EC">
            <w:pPr>
              <w:rPr>
                <w:b/>
                <w:bCs/>
              </w:rPr>
            </w:pPr>
            <w:r w:rsidRPr="004707EC">
              <w:rPr>
                <w:b/>
                <w:bCs/>
              </w:rPr>
              <w:t>Service Type</w:t>
            </w:r>
          </w:p>
        </w:tc>
        <w:tc>
          <w:tcPr>
            <w:tcW w:w="0" w:type="auto"/>
            <w:vAlign w:val="center"/>
            <w:hideMark/>
          </w:tcPr>
          <w:p w14:paraId="56AB9FF4" w14:textId="77777777" w:rsidR="004707EC" w:rsidRPr="004707EC" w:rsidRDefault="004707EC" w:rsidP="004707EC">
            <w:pPr>
              <w:rPr>
                <w:b/>
                <w:bCs/>
              </w:rPr>
            </w:pPr>
            <w:r w:rsidRPr="004707EC">
              <w:rPr>
                <w:b/>
                <w:bCs/>
              </w:rPr>
              <w:t>Forecasted Journeys</w:t>
            </w:r>
          </w:p>
        </w:tc>
        <w:tc>
          <w:tcPr>
            <w:tcW w:w="0" w:type="auto"/>
            <w:vAlign w:val="center"/>
            <w:hideMark/>
          </w:tcPr>
          <w:p w14:paraId="11242BD6" w14:textId="77777777" w:rsidR="004707EC" w:rsidRPr="004707EC" w:rsidRDefault="004707EC" w:rsidP="004707EC">
            <w:pPr>
              <w:rPr>
                <w:b/>
                <w:bCs/>
              </w:rPr>
            </w:pPr>
            <w:r w:rsidRPr="004707EC">
              <w:rPr>
                <w:b/>
                <w:bCs/>
              </w:rPr>
              <w:t>Lower Bound</w:t>
            </w:r>
          </w:p>
        </w:tc>
        <w:tc>
          <w:tcPr>
            <w:tcW w:w="0" w:type="auto"/>
            <w:vAlign w:val="center"/>
            <w:hideMark/>
          </w:tcPr>
          <w:p w14:paraId="33B25C34" w14:textId="77777777" w:rsidR="004707EC" w:rsidRPr="004707EC" w:rsidRDefault="004707EC" w:rsidP="004707EC">
            <w:pPr>
              <w:rPr>
                <w:b/>
                <w:bCs/>
              </w:rPr>
            </w:pPr>
            <w:r w:rsidRPr="004707EC">
              <w:rPr>
                <w:b/>
                <w:bCs/>
              </w:rPr>
              <w:t>Upper Bound</w:t>
            </w:r>
          </w:p>
        </w:tc>
      </w:tr>
      <w:tr w:rsidR="004707EC" w:rsidRPr="004707EC" w14:paraId="58F2673A" w14:textId="77777777" w:rsidTr="004707EC">
        <w:trPr>
          <w:tblCellSpacing w:w="15" w:type="dxa"/>
        </w:trPr>
        <w:tc>
          <w:tcPr>
            <w:tcW w:w="0" w:type="auto"/>
            <w:vAlign w:val="center"/>
            <w:hideMark/>
          </w:tcPr>
          <w:p w14:paraId="673C528A" w14:textId="77777777" w:rsidR="004707EC" w:rsidRPr="004707EC" w:rsidRDefault="004707EC" w:rsidP="004707EC">
            <w:r w:rsidRPr="004707EC">
              <w:t>2025-05-27</w:t>
            </w:r>
          </w:p>
        </w:tc>
        <w:tc>
          <w:tcPr>
            <w:tcW w:w="0" w:type="auto"/>
            <w:vAlign w:val="center"/>
            <w:hideMark/>
          </w:tcPr>
          <w:p w14:paraId="10376B00" w14:textId="77777777" w:rsidR="004707EC" w:rsidRPr="004707EC" w:rsidRDefault="004707EC" w:rsidP="004707EC">
            <w:r w:rsidRPr="004707EC">
              <w:t>Local Route</w:t>
            </w:r>
          </w:p>
        </w:tc>
        <w:tc>
          <w:tcPr>
            <w:tcW w:w="0" w:type="auto"/>
            <w:vAlign w:val="center"/>
            <w:hideMark/>
          </w:tcPr>
          <w:p w14:paraId="3910A3EF" w14:textId="77777777" w:rsidR="004707EC" w:rsidRPr="004707EC" w:rsidRDefault="004707EC" w:rsidP="004707EC">
            <w:r w:rsidRPr="004707EC">
              <w:t>12,345</w:t>
            </w:r>
          </w:p>
        </w:tc>
        <w:tc>
          <w:tcPr>
            <w:tcW w:w="0" w:type="auto"/>
            <w:vAlign w:val="center"/>
            <w:hideMark/>
          </w:tcPr>
          <w:p w14:paraId="4E6DE5DC" w14:textId="77777777" w:rsidR="004707EC" w:rsidRPr="004707EC" w:rsidRDefault="004707EC" w:rsidP="004707EC">
            <w:r w:rsidRPr="004707EC">
              <w:t>11,200</w:t>
            </w:r>
          </w:p>
        </w:tc>
        <w:tc>
          <w:tcPr>
            <w:tcW w:w="0" w:type="auto"/>
            <w:vAlign w:val="center"/>
            <w:hideMark/>
          </w:tcPr>
          <w:p w14:paraId="6918012F" w14:textId="77777777" w:rsidR="004707EC" w:rsidRPr="004707EC" w:rsidRDefault="004707EC" w:rsidP="004707EC">
            <w:r w:rsidRPr="004707EC">
              <w:t>13,400</w:t>
            </w:r>
          </w:p>
        </w:tc>
      </w:tr>
      <w:tr w:rsidR="004707EC" w:rsidRPr="004707EC" w14:paraId="55F96504" w14:textId="77777777" w:rsidTr="004707EC">
        <w:trPr>
          <w:tblCellSpacing w:w="15" w:type="dxa"/>
        </w:trPr>
        <w:tc>
          <w:tcPr>
            <w:tcW w:w="0" w:type="auto"/>
            <w:vAlign w:val="center"/>
            <w:hideMark/>
          </w:tcPr>
          <w:p w14:paraId="666EFF46" w14:textId="77777777" w:rsidR="004707EC" w:rsidRPr="004707EC" w:rsidRDefault="004707EC" w:rsidP="004707EC">
            <w:r w:rsidRPr="004707EC">
              <w:t>2025-05-28</w:t>
            </w:r>
          </w:p>
        </w:tc>
        <w:tc>
          <w:tcPr>
            <w:tcW w:w="0" w:type="auto"/>
            <w:vAlign w:val="center"/>
            <w:hideMark/>
          </w:tcPr>
          <w:p w14:paraId="4B440D26" w14:textId="77777777" w:rsidR="004707EC" w:rsidRPr="004707EC" w:rsidRDefault="004707EC" w:rsidP="004707EC">
            <w:r w:rsidRPr="004707EC">
              <w:t>Local Route</w:t>
            </w:r>
          </w:p>
        </w:tc>
        <w:tc>
          <w:tcPr>
            <w:tcW w:w="0" w:type="auto"/>
            <w:vAlign w:val="center"/>
            <w:hideMark/>
          </w:tcPr>
          <w:p w14:paraId="0CB95A27" w14:textId="77777777" w:rsidR="004707EC" w:rsidRPr="004707EC" w:rsidRDefault="004707EC" w:rsidP="004707EC">
            <w:r w:rsidRPr="004707EC">
              <w:t>13,210</w:t>
            </w:r>
          </w:p>
        </w:tc>
        <w:tc>
          <w:tcPr>
            <w:tcW w:w="0" w:type="auto"/>
            <w:vAlign w:val="center"/>
            <w:hideMark/>
          </w:tcPr>
          <w:p w14:paraId="3DC43A7F" w14:textId="77777777" w:rsidR="004707EC" w:rsidRPr="004707EC" w:rsidRDefault="004707EC" w:rsidP="004707EC">
            <w:r w:rsidRPr="004707EC">
              <w:t>12,100</w:t>
            </w:r>
          </w:p>
        </w:tc>
        <w:tc>
          <w:tcPr>
            <w:tcW w:w="0" w:type="auto"/>
            <w:vAlign w:val="center"/>
            <w:hideMark/>
          </w:tcPr>
          <w:p w14:paraId="2C04FA0C" w14:textId="77777777" w:rsidR="004707EC" w:rsidRPr="004707EC" w:rsidRDefault="004707EC" w:rsidP="004707EC">
            <w:r w:rsidRPr="004707EC">
              <w:t>14,320</w:t>
            </w:r>
          </w:p>
        </w:tc>
      </w:tr>
    </w:tbl>
    <w:p w14:paraId="18579A05" w14:textId="50281D52" w:rsidR="004707EC" w:rsidRDefault="004707EC" w:rsidP="004707EC">
      <w:r w:rsidRPr="004707EC">
        <w:br/>
        <w:t xml:space="preserve">Facebook Prophet successfully captured the trend and seasonality of public transport usage for each service. The model is interpretable, quick to deploy, and provides uncertainty intervals useful for capacity planning and decision-making. Further enhancement can include holiday effects and regressor-based </w:t>
      </w:r>
      <w:proofErr w:type="spellStart"/>
      <w:r w:rsidRPr="004707EC">
        <w:t>modeling</w:t>
      </w:r>
      <w:proofErr w:type="spellEnd"/>
      <w:r w:rsidRPr="004707EC">
        <w:t>.</w:t>
      </w:r>
    </w:p>
    <w:p w14:paraId="5E970BB4" w14:textId="77777777" w:rsidR="004707EC" w:rsidRPr="004707EC" w:rsidRDefault="004707EC" w:rsidP="004707EC"/>
    <w:p w14:paraId="3B6A8BFA" w14:textId="77777777" w:rsidR="004707EC" w:rsidRPr="004707EC" w:rsidRDefault="004707EC" w:rsidP="004707EC"/>
    <w:sectPr w:rsidR="004707EC" w:rsidRPr="004707E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B38BB" w14:textId="77777777" w:rsidR="000527DD" w:rsidRDefault="000527DD" w:rsidP="000049F6">
      <w:pPr>
        <w:spacing w:after="0" w:line="240" w:lineRule="auto"/>
      </w:pPr>
      <w:r>
        <w:separator/>
      </w:r>
    </w:p>
  </w:endnote>
  <w:endnote w:type="continuationSeparator" w:id="0">
    <w:p w14:paraId="12595ECC" w14:textId="77777777" w:rsidR="000527DD" w:rsidRDefault="000527DD" w:rsidP="0000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76BC1" w14:textId="77777777" w:rsidR="000527DD" w:rsidRDefault="000527DD" w:rsidP="000049F6">
      <w:pPr>
        <w:spacing w:after="0" w:line="240" w:lineRule="auto"/>
      </w:pPr>
      <w:r>
        <w:separator/>
      </w:r>
    </w:p>
  </w:footnote>
  <w:footnote w:type="continuationSeparator" w:id="0">
    <w:p w14:paraId="42ADC68D" w14:textId="77777777" w:rsidR="000527DD" w:rsidRDefault="000527DD" w:rsidP="0000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31B6D" w14:textId="7B533AFE" w:rsidR="000049F6" w:rsidRDefault="000049F6">
    <w:pPr>
      <w:pStyle w:val="Header"/>
      <w:rPr>
        <w:sz w:val="32"/>
        <w:szCs w:val="32"/>
      </w:rPr>
    </w:pPr>
    <w:r>
      <w:rPr>
        <w:sz w:val="32"/>
        <w:szCs w:val="32"/>
      </w:rPr>
      <w:t>MOHAMED ARSATH H</w:t>
    </w:r>
  </w:p>
  <w:p w14:paraId="1A25B773" w14:textId="223C224A" w:rsidR="000049F6" w:rsidRPr="000049F6" w:rsidRDefault="000049F6">
    <w:pPr>
      <w:pStyle w:val="Header"/>
      <w:rPr>
        <w:sz w:val="32"/>
        <w:szCs w:val="32"/>
      </w:rPr>
    </w:pPr>
    <w:r>
      <w:rPr>
        <w:sz w:val="32"/>
        <w:szCs w:val="32"/>
      </w:rPr>
      <w:t>KONGU ENGINEERING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724"/>
    <w:multiLevelType w:val="hybridMultilevel"/>
    <w:tmpl w:val="EDDEEE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A903BE"/>
    <w:multiLevelType w:val="multilevel"/>
    <w:tmpl w:val="6EB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3F0"/>
    <w:multiLevelType w:val="multilevel"/>
    <w:tmpl w:val="525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41CD"/>
    <w:multiLevelType w:val="multilevel"/>
    <w:tmpl w:val="399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276F"/>
    <w:multiLevelType w:val="multilevel"/>
    <w:tmpl w:val="FA06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76CD1"/>
    <w:multiLevelType w:val="multilevel"/>
    <w:tmpl w:val="B18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61FD3"/>
    <w:multiLevelType w:val="multilevel"/>
    <w:tmpl w:val="4694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516E2"/>
    <w:multiLevelType w:val="multilevel"/>
    <w:tmpl w:val="483C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E311F"/>
    <w:multiLevelType w:val="multilevel"/>
    <w:tmpl w:val="5088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D6D15"/>
    <w:multiLevelType w:val="multilevel"/>
    <w:tmpl w:val="10E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750A3"/>
    <w:multiLevelType w:val="multilevel"/>
    <w:tmpl w:val="674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919E6"/>
    <w:multiLevelType w:val="multilevel"/>
    <w:tmpl w:val="8DA09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A6B65"/>
    <w:multiLevelType w:val="multilevel"/>
    <w:tmpl w:val="C63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B47D9"/>
    <w:multiLevelType w:val="hybridMultilevel"/>
    <w:tmpl w:val="469A1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2643B"/>
    <w:multiLevelType w:val="multilevel"/>
    <w:tmpl w:val="DBB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D180D"/>
    <w:multiLevelType w:val="multilevel"/>
    <w:tmpl w:val="D67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05D3A"/>
    <w:multiLevelType w:val="multilevel"/>
    <w:tmpl w:val="7E0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F60EC"/>
    <w:multiLevelType w:val="multilevel"/>
    <w:tmpl w:val="25C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43A2A"/>
    <w:multiLevelType w:val="multilevel"/>
    <w:tmpl w:val="226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42542"/>
    <w:multiLevelType w:val="hybridMultilevel"/>
    <w:tmpl w:val="F8741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8642412">
    <w:abstractNumId w:val="9"/>
  </w:num>
  <w:num w:numId="2" w16cid:durableId="1430541253">
    <w:abstractNumId w:val="7"/>
  </w:num>
  <w:num w:numId="3" w16cid:durableId="2106877888">
    <w:abstractNumId w:val="1"/>
  </w:num>
  <w:num w:numId="4" w16cid:durableId="1938557433">
    <w:abstractNumId w:val="17"/>
  </w:num>
  <w:num w:numId="5" w16cid:durableId="1736004286">
    <w:abstractNumId w:val="8"/>
  </w:num>
  <w:num w:numId="6" w16cid:durableId="1103722838">
    <w:abstractNumId w:val="3"/>
  </w:num>
  <w:num w:numId="7" w16cid:durableId="1073164862">
    <w:abstractNumId w:val="18"/>
  </w:num>
  <w:num w:numId="8" w16cid:durableId="1986811478">
    <w:abstractNumId w:val="5"/>
  </w:num>
  <w:num w:numId="9" w16cid:durableId="1407415128">
    <w:abstractNumId w:val="16"/>
  </w:num>
  <w:num w:numId="10" w16cid:durableId="1743137559">
    <w:abstractNumId w:val="10"/>
  </w:num>
  <w:num w:numId="11" w16cid:durableId="847328082">
    <w:abstractNumId w:val="0"/>
  </w:num>
  <w:num w:numId="12" w16cid:durableId="1083070314">
    <w:abstractNumId w:val="13"/>
  </w:num>
  <w:num w:numId="13" w16cid:durableId="1314796099">
    <w:abstractNumId w:val="4"/>
  </w:num>
  <w:num w:numId="14" w16cid:durableId="809055771">
    <w:abstractNumId w:val="6"/>
  </w:num>
  <w:num w:numId="15" w16cid:durableId="2035615113">
    <w:abstractNumId w:val="19"/>
  </w:num>
  <w:num w:numId="16" w16cid:durableId="415175913">
    <w:abstractNumId w:val="15"/>
  </w:num>
  <w:num w:numId="17" w16cid:durableId="509101132">
    <w:abstractNumId w:val="14"/>
  </w:num>
  <w:num w:numId="18" w16cid:durableId="1914700184">
    <w:abstractNumId w:val="11"/>
  </w:num>
  <w:num w:numId="19" w16cid:durableId="1882203198">
    <w:abstractNumId w:val="12"/>
  </w:num>
  <w:num w:numId="20" w16cid:durableId="158410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F6"/>
    <w:rsid w:val="000049F6"/>
    <w:rsid w:val="000527DD"/>
    <w:rsid w:val="00235ACC"/>
    <w:rsid w:val="004707EC"/>
    <w:rsid w:val="007242BB"/>
    <w:rsid w:val="00850D02"/>
    <w:rsid w:val="00883296"/>
    <w:rsid w:val="008C18D7"/>
    <w:rsid w:val="009E5797"/>
    <w:rsid w:val="00B05FB7"/>
    <w:rsid w:val="00B25306"/>
    <w:rsid w:val="00D60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5A5FA"/>
  <w15:chartTrackingRefBased/>
  <w15:docId w15:val="{BCF1D7D9-CB7B-4FC6-A902-5C8D76D3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96"/>
  </w:style>
  <w:style w:type="paragraph" w:styleId="Heading1">
    <w:name w:val="heading 1"/>
    <w:basedOn w:val="Normal"/>
    <w:next w:val="Normal"/>
    <w:link w:val="Heading1Char"/>
    <w:uiPriority w:val="9"/>
    <w:qFormat/>
    <w:rsid w:val="00004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9F6"/>
    <w:rPr>
      <w:rFonts w:eastAsiaTheme="majorEastAsia" w:cstheme="majorBidi"/>
      <w:color w:val="272727" w:themeColor="text1" w:themeTint="D8"/>
    </w:rPr>
  </w:style>
  <w:style w:type="paragraph" w:styleId="Title">
    <w:name w:val="Title"/>
    <w:basedOn w:val="Normal"/>
    <w:next w:val="Normal"/>
    <w:link w:val="TitleChar"/>
    <w:uiPriority w:val="10"/>
    <w:qFormat/>
    <w:rsid w:val="00004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9F6"/>
    <w:pPr>
      <w:spacing w:before="160"/>
      <w:jc w:val="center"/>
    </w:pPr>
    <w:rPr>
      <w:i/>
      <w:iCs/>
      <w:color w:val="404040" w:themeColor="text1" w:themeTint="BF"/>
    </w:rPr>
  </w:style>
  <w:style w:type="character" w:customStyle="1" w:styleId="QuoteChar">
    <w:name w:val="Quote Char"/>
    <w:basedOn w:val="DefaultParagraphFont"/>
    <w:link w:val="Quote"/>
    <w:uiPriority w:val="29"/>
    <w:rsid w:val="000049F6"/>
    <w:rPr>
      <w:i/>
      <w:iCs/>
      <w:color w:val="404040" w:themeColor="text1" w:themeTint="BF"/>
    </w:rPr>
  </w:style>
  <w:style w:type="paragraph" w:styleId="ListParagraph">
    <w:name w:val="List Paragraph"/>
    <w:basedOn w:val="Normal"/>
    <w:uiPriority w:val="34"/>
    <w:qFormat/>
    <w:rsid w:val="000049F6"/>
    <w:pPr>
      <w:ind w:left="720"/>
      <w:contextualSpacing/>
    </w:pPr>
  </w:style>
  <w:style w:type="character" w:styleId="IntenseEmphasis">
    <w:name w:val="Intense Emphasis"/>
    <w:basedOn w:val="DefaultParagraphFont"/>
    <w:uiPriority w:val="21"/>
    <w:qFormat/>
    <w:rsid w:val="000049F6"/>
    <w:rPr>
      <w:i/>
      <w:iCs/>
      <w:color w:val="2F5496" w:themeColor="accent1" w:themeShade="BF"/>
    </w:rPr>
  </w:style>
  <w:style w:type="paragraph" w:styleId="IntenseQuote">
    <w:name w:val="Intense Quote"/>
    <w:basedOn w:val="Normal"/>
    <w:next w:val="Normal"/>
    <w:link w:val="IntenseQuoteChar"/>
    <w:uiPriority w:val="30"/>
    <w:qFormat/>
    <w:rsid w:val="00004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9F6"/>
    <w:rPr>
      <w:i/>
      <w:iCs/>
      <w:color w:val="2F5496" w:themeColor="accent1" w:themeShade="BF"/>
    </w:rPr>
  </w:style>
  <w:style w:type="character" w:styleId="IntenseReference">
    <w:name w:val="Intense Reference"/>
    <w:basedOn w:val="DefaultParagraphFont"/>
    <w:uiPriority w:val="32"/>
    <w:qFormat/>
    <w:rsid w:val="000049F6"/>
    <w:rPr>
      <w:b/>
      <w:bCs/>
      <w:smallCaps/>
      <w:color w:val="2F5496" w:themeColor="accent1" w:themeShade="BF"/>
      <w:spacing w:val="5"/>
    </w:rPr>
  </w:style>
  <w:style w:type="paragraph" w:styleId="NormalWeb">
    <w:name w:val="Normal (Web)"/>
    <w:basedOn w:val="Normal"/>
    <w:uiPriority w:val="99"/>
    <w:semiHidden/>
    <w:unhideWhenUsed/>
    <w:rsid w:val="000049F6"/>
    <w:rPr>
      <w:rFonts w:ascii="Times New Roman" w:hAnsi="Times New Roman" w:cs="Times New Roman"/>
      <w:sz w:val="24"/>
      <w:szCs w:val="24"/>
    </w:rPr>
  </w:style>
  <w:style w:type="paragraph" w:styleId="Header">
    <w:name w:val="header"/>
    <w:basedOn w:val="Normal"/>
    <w:link w:val="HeaderChar"/>
    <w:uiPriority w:val="99"/>
    <w:unhideWhenUsed/>
    <w:rsid w:val="00004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9F6"/>
  </w:style>
  <w:style w:type="paragraph" w:styleId="Footer">
    <w:name w:val="footer"/>
    <w:basedOn w:val="Normal"/>
    <w:link w:val="FooterChar"/>
    <w:uiPriority w:val="99"/>
    <w:unhideWhenUsed/>
    <w:rsid w:val="00004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8954">
      <w:bodyDiv w:val="1"/>
      <w:marLeft w:val="0"/>
      <w:marRight w:val="0"/>
      <w:marTop w:val="0"/>
      <w:marBottom w:val="0"/>
      <w:divBdr>
        <w:top w:val="none" w:sz="0" w:space="0" w:color="auto"/>
        <w:left w:val="none" w:sz="0" w:space="0" w:color="auto"/>
        <w:bottom w:val="none" w:sz="0" w:space="0" w:color="auto"/>
        <w:right w:val="none" w:sz="0" w:space="0" w:color="auto"/>
      </w:divBdr>
      <w:divsChild>
        <w:div w:id="96561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24989">
      <w:bodyDiv w:val="1"/>
      <w:marLeft w:val="0"/>
      <w:marRight w:val="0"/>
      <w:marTop w:val="0"/>
      <w:marBottom w:val="0"/>
      <w:divBdr>
        <w:top w:val="none" w:sz="0" w:space="0" w:color="auto"/>
        <w:left w:val="none" w:sz="0" w:space="0" w:color="auto"/>
        <w:bottom w:val="none" w:sz="0" w:space="0" w:color="auto"/>
        <w:right w:val="none" w:sz="0" w:space="0" w:color="auto"/>
      </w:divBdr>
      <w:divsChild>
        <w:div w:id="342904399">
          <w:marLeft w:val="0"/>
          <w:marRight w:val="0"/>
          <w:marTop w:val="0"/>
          <w:marBottom w:val="0"/>
          <w:divBdr>
            <w:top w:val="none" w:sz="0" w:space="0" w:color="auto"/>
            <w:left w:val="none" w:sz="0" w:space="0" w:color="auto"/>
            <w:bottom w:val="none" w:sz="0" w:space="0" w:color="auto"/>
            <w:right w:val="none" w:sz="0" w:space="0" w:color="auto"/>
          </w:divBdr>
          <w:divsChild>
            <w:div w:id="1245871083">
              <w:marLeft w:val="0"/>
              <w:marRight w:val="0"/>
              <w:marTop w:val="0"/>
              <w:marBottom w:val="0"/>
              <w:divBdr>
                <w:top w:val="none" w:sz="0" w:space="0" w:color="auto"/>
                <w:left w:val="none" w:sz="0" w:space="0" w:color="auto"/>
                <w:bottom w:val="none" w:sz="0" w:space="0" w:color="auto"/>
                <w:right w:val="none" w:sz="0" w:space="0" w:color="auto"/>
              </w:divBdr>
            </w:div>
          </w:divsChild>
        </w:div>
        <w:div w:id="641082074">
          <w:marLeft w:val="0"/>
          <w:marRight w:val="0"/>
          <w:marTop w:val="0"/>
          <w:marBottom w:val="0"/>
          <w:divBdr>
            <w:top w:val="none" w:sz="0" w:space="0" w:color="auto"/>
            <w:left w:val="none" w:sz="0" w:space="0" w:color="auto"/>
            <w:bottom w:val="none" w:sz="0" w:space="0" w:color="auto"/>
            <w:right w:val="none" w:sz="0" w:space="0" w:color="auto"/>
          </w:divBdr>
          <w:divsChild>
            <w:div w:id="11307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82">
      <w:bodyDiv w:val="1"/>
      <w:marLeft w:val="0"/>
      <w:marRight w:val="0"/>
      <w:marTop w:val="0"/>
      <w:marBottom w:val="0"/>
      <w:divBdr>
        <w:top w:val="none" w:sz="0" w:space="0" w:color="auto"/>
        <w:left w:val="none" w:sz="0" w:space="0" w:color="auto"/>
        <w:bottom w:val="none" w:sz="0" w:space="0" w:color="auto"/>
        <w:right w:val="none" w:sz="0" w:space="0" w:color="auto"/>
      </w:divBdr>
    </w:div>
    <w:div w:id="530075411">
      <w:bodyDiv w:val="1"/>
      <w:marLeft w:val="0"/>
      <w:marRight w:val="0"/>
      <w:marTop w:val="0"/>
      <w:marBottom w:val="0"/>
      <w:divBdr>
        <w:top w:val="none" w:sz="0" w:space="0" w:color="auto"/>
        <w:left w:val="none" w:sz="0" w:space="0" w:color="auto"/>
        <w:bottom w:val="none" w:sz="0" w:space="0" w:color="auto"/>
        <w:right w:val="none" w:sz="0" w:space="0" w:color="auto"/>
      </w:divBdr>
    </w:div>
    <w:div w:id="664430231">
      <w:bodyDiv w:val="1"/>
      <w:marLeft w:val="0"/>
      <w:marRight w:val="0"/>
      <w:marTop w:val="0"/>
      <w:marBottom w:val="0"/>
      <w:divBdr>
        <w:top w:val="none" w:sz="0" w:space="0" w:color="auto"/>
        <w:left w:val="none" w:sz="0" w:space="0" w:color="auto"/>
        <w:bottom w:val="none" w:sz="0" w:space="0" w:color="auto"/>
        <w:right w:val="none" w:sz="0" w:space="0" w:color="auto"/>
      </w:divBdr>
    </w:div>
    <w:div w:id="690498065">
      <w:bodyDiv w:val="1"/>
      <w:marLeft w:val="0"/>
      <w:marRight w:val="0"/>
      <w:marTop w:val="0"/>
      <w:marBottom w:val="0"/>
      <w:divBdr>
        <w:top w:val="none" w:sz="0" w:space="0" w:color="auto"/>
        <w:left w:val="none" w:sz="0" w:space="0" w:color="auto"/>
        <w:bottom w:val="none" w:sz="0" w:space="0" w:color="auto"/>
        <w:right w:val="none" w:sz="0" w:space="0" w:color="auto"/>
      </w:divBdr>
    </w:div>
    <w:div w:id="723260586">
      <w:bodyDiv w:val="1"/>
      <w:marLeft w:val="0"/>
      <w:marRight w:val="0"/>
      <w:marTop w:val="0"/>
      <w:marBottom w:val="0"/>
      <w:divBdr>
        <w:top w:val="none" w:sz="0" w:space="0" w:color="auto"/>
        <w:left w:val="none" w:sz="0" w:space="0" w:color="auto"/>
        <w:bottom w:val="none" w:sz="0" w:space="0" w:color="auto"/>
        <w:right w:val="none" w:sz="0" w:space="0" w:color="auto"/>
      </w:divBdr>
    </w:div>
    <w:div w:id="803734157">
      <w:bodyDiv w:val="1"/>
      <w:marLeft w:val="0"/>
      <w:marRight w:val="0"/>
      <w:marTop w:val="0"/>
      <w:marBottom w:val="0"/>
      <w:divBdr>
        <w:top w:val="none" w:sz="0" w:space="0" w:color="auto"/>
        <w:left w:val="none" w:sz="0" w:space="0" w:color="auto"/>
        <w:bottom w:val="none" w:sz="0" w:space="0" w:color="auto"/>
        <w:right w:val="none" w:sz="0" w:space="0" w:color="auto"/>
      </w:divBdr>
    </w:div>
    <w:div w:id="841093538">
      <w:bodyDiv w:val="1"/>
      <w:marLeft w:val="0"/>
      <w:marRight w:val="0"/>
      <w:marTop w:val="0"/>
      <w:marBottom w:val="0"/>
      <w:divBdr>
        <w:top w:val="none" w:sz="0" w:space="0" w:color="auto"/>
        <w:left w:val="none" w:sz="0" w:space="0" w:color="auto"/>
        <w:bottom w:val="none" w:sz="0" w:space="0" w:color="auto"/>
        <w:right w:val="none" w:sz="0" w:space="0" w:color="auto"/>
      </w:divBdr>
    </w:div>
    <w:div w:id="862521927">
      <w:bodyDiv w:val="1"/>
      <w:marLeft w:val="0"/>
      <w:marRight w:val="0"/>
      <w:marTop w:val="0"/>
      <w:marBottom w:val="0"/>
      <w:divBdr>
        <w:top w:val="none" w:sz="0" w:space="0" w:color="auto"/>
        <w:left w:val="none" w:sz="0" w:space="0" w:color="auto"/>
        <w:bottom w:val="none" w:sz="0" w:space="0" w:color="auto"/>
        <w:right w:val="none" w:sz="0" w:space="0" w:color="auto"/>
      </w:divBdr>
      <w:divsChild>
        <w:div w:id="868682347">
          <w:marLeft w:val="0"/>
          <w:marRight w:val="0"/>
          <w:marTop w:val="0"/>
          <w:marBottom w:val="0"/>
          <w:divBdr>
            <w:top w:val="none" w:sz="0" w:space="0" w:color="auto"/>
            <w:left w:val="none" w:sz="0" w:space="0" w:color="auto"/>
            <w:bottom w:val="none" w:sz="0" w:space="0" w:color="auto"/>
            <w:right w:val="none" w:sz="0" w:space="0" w:color="auto"/>
          </w:divBdr>
          <w:divsChild>
            <w:div w:id="1848908963">
              <w:marLeft w:val="0"/>
              <w:marRight w:val="0"/>
              <w:marTop w:val="0"/>
              <w:marBottom w:val="0"/>
              <w:divBdr>
                <w:top w:val="none" w:sz="0" w:space="0" w:color="auto"/>
                <w:left w:val="none" w:sz="0" w:space="0" w:color="auto"/>
                <w:bottom w:val="none" w:sz="0" w:space="0" w:color="auto"/>
                <w:right w:val="none" w:sz="0" w:space="0" w:color="auto"/>
              </w:divBdr>
            </w:div>
          </w:divsChild>
        </w:div>
        <w:div w:id="1731726578">
          <w:marLeft w:val="0"/>
          <w:marRight w:val="0"/>
          <w:marTop w:val="0"/>
          <w:marBottom w:val="0"/>
          <w:divBdr>
            <w:top w:val="none" w:sz="0" w:space="0" w:color="auto"/>
            <w:left w:val="none" w:sz="0" w:space="0" w:color="auto"/>
            <w:bottom w:val="none" w:sz="0" w:space="0" w:color="auto"/>
            <w:right w:val="none" w:sz="0" w:space="0" w:color="auto"/>
          </w:divBdr>
          <w:divsChild>
            <w:div w:id="399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899">
      <w:bodyDiv w:val="1"/>
      <w:marLeft w:val="0"/>
      <w:marRight w:val="0"/>
      <w:marTop w:val="0"/>
      <w:marBottom w:val="0"/>
      <w:divBdr>
        <w:top w:val="none" w:sz="0" w:space="0" w:color="auto"/>
        <w:left w:val="none" w:sz="0" w:space="0" w:color="auto"/>
        <w:bottom w:val="none" w:sz="0" w:space="0" w:color="auto"/>
        <w:right w:val="none" w:sz="0" w:space="0" w:color="auto"/>
      </w:divBdr>
    </w:div>
    <w:div w:id="932862287">
      <w:bodyDiv w:val="1"/>
      <w:marLeft w:val="0"/>
      <w:marRight w:val="0"/>
      <w:marTop w:val="0"/>
      <w:marBottom w:val="0"/>
      <w:divBdr>
        <w:top w:val="none" w:sz="0" w:space="0" w:color="auto"/>
        <w:left w:val="none" w:sz="0" w:space="0" w:color="auto"/>
        <w:bottom w:val="none" w:sz="0" w:space="0" w:color="auto"/>
        <w:right w:val="none" w:sz="0" w:space="0" w:color="auto"/>
      </w:divBdr>
    </w:div>
    <w:div w:id="969555100">
      <w:bodyDiv w:val="1"/>
      <w:marLeft w:val="0"/>
      <w:marRight w:val="0"/>
      <w:marTop w:val="0"/>
      <w:marBottom w:val="0"/>
      <w:divBdr>
        <w:top w:val="none" w:sz="0" w:space="0" w:color="auto"/>
        <w:left w:val="none" w:sz="0" w:space="0" w:color="auto"/>
        <w:bottom w:val="none" w:sz="0" w:space="0" w:color="auto"/>
        <w:right w:val="none" w:sz="0" w:space="0" w:color="auto"/>
      </w:divBdr>
    </w:div>
    <w:div w:id="997925795">
      <w:bodyDiv w:val="1"/>
      <w:marLeft w:val="0"/>
      <w:marRight w:val="0"/>
      <w:marTop w:val="0"/>
      <w:marBottom w:val="0"/>
      <w:divBdr>
        <w:top w:val="none" w:sz="0" w:space="0" w:color="auto"/>
        <w:left w:val="none" w:sz="0" w:space="0" w:color="auto"/>
        <w:bottom w:val="none" w:sz="0" w:space="0" w:color="auto"/>
        <w:right w:val="none" w:sz="0" w:space="0" w:color="auto"/>
      </w:divBdr>
    </w:div>
    <w:div w:id="1052732480">
      <w:bodyDiv w:val="1"/>
      <w:marLeft w:val="0"/>
      <w:marRight w:val="0"/>
      <w:marTop w:val="0"/>
      <w:marBottom w:val="0"/>
      <w:divBdr>
        <w:top w:val="none" w:sz="0" w:space="0" w:color="auto"/>
        <w:left w:val="none" w:sz="0" w:space="0" w:color="auto"/>
        <w:bottom w:val="none" w:sz="0" w:space="0" w:color="auto"/>
        <w:right w:val="none" w:sz="0" w:space="0" w:color="auto"/>
      </w:divBdr>
    </w:div>
    <w:div w:id="1126630195">
      <w:bodyDiv w:val="1"/>
      <w:marLeft w:val="0"/>
      <w:marRight w:val="0"/>
      <w:marTop w:val="0"/>
      <w:marBottom w:val="0"/>
      <w:divBdr>
        <w:top w:val="none" w:sz="0" w:space="0" w:color="auto"/>
        <w:left w:val="none" w:sz="0" w:space="0" w:color="auto"/>
        <w:bottom w:val="none" w:sz="0" w:space="0" w:color="auto"/>
        <w:right w:val="none" w:sz="0" w:space="0" w:color="auto"/>
      </w:divBdr>
    </w:div>
    <w:div w:id="1267008559">
      <w:bodyDiv w:val="1"/>
      <w:marLeft w:val="0"/>
      <w:marRight w:val="0"/>
      <w:marTop w:val="0"/>
      <w:marBottom w:val="0"/>
      <w:divBdr>
        <w:top w:val="none" w:sz="0" w:space="0" w:color="auto"/>
        <w:left w:val="none" w:sz="0" w:space="0" w:color="auto"/>
        <w:bottom w:val="none" w:sz="0" w:space="0" w:color="auto"/>
        <w:right w:val="none" w:sz="0" w:space="0" w:color="auto"/>
      </w:divBdr>
    </w:div>
    <w:div w:id="1526555411">
      <w:bodyDiv w:val="1"/>
      <w:marLeft w:val="0"/>
      <w:marRight w:val="0"/>
      <w:marTop w:val="0"/>
      <w:marBottom w:val="0"/>
      <w:divBdr>
        <w:top w:val="none" w:sz="0" w:space="0" w:color="auto"/>
        <w:left w:val="none" w:sz="0" w:space="0" w:color="auto"/>
        <w:bottom w:val="none" w:sz="0" w:space="0" w:color="auto"/>
        <w:right w:val="none" w:sz="0" w:space="0" w:color="auto"/>
      </w:divBdr>
    </w:div>
    <w:div w:id="1567571875">
      <w:bodyDiv w:val="1"/>
      <w:marLeft w:val="0"/>
      <w:marRight w:val="0"/>
      <w:marTop w:val="0"/>
      <w:marBottom w:val="0"/>
      <w:divBdr>
        <w:top w:val="none" w:sz="0" w:space="0" w:color="auto"/>
        <w:left w:val="none" w:sz="0" w:space="0" w:color="auto"/>
        <w:bottom w:val="none" w:sz="0" w:space="0" w:color="auto"/>
        <w:right w:val="none" w:sz="0" w:space="0" w:color="auto"/>
      </w:divBdr>
    </w:div>
    <w:div w:id="1576086286">
      <w:bodyDiv w:val="1"/>
      <w:marLeft w:val="0"/>
      <w:marRight w:val="0"/>
      <w:marTop w:val="0"/>
      <w:marBottom w:val="0"/>
      <w:divBdr>
        <w:top w:val="none" w:sz="0" w:space="0" w:color="auto"/>
        <w:left w:val="none" w:sz="0" w:space="0" w:color="auto"/>
        <w:bottom w:val="none" w:sz="0" w:space="0" w:color="auto"/>
        <w:right w:val="none" w:sz="0" w:space="0" w:color="auto"/>
      </w:divBdr>
    </w:div>
    <w:div w:id="1586955833">
      <w:bodyDiv w:val="1"/>
      <w:marLeft w:val="0"/>
      <w:marRight w:val="0"/>
      <w:marTop w:val="0"/>
      <w:marBottom w:val="0"/>
      <w:divBdr>
        <w:top w:val="none" w:sz="0" w:space="0" w:color="auto"/>
        <w:left w:val="none" w:sz="0" w:space="0" w:color="auto"/>
        <w:bottom w:val="none" w:sz="0" w:space="0" w:color="auto"/>
        <w:right w:val="none" w:sz="0" w:space="0" w:color="auto"/>
      </w:divBdr>
    </w:div>
    <w:div w:id="1593927129">
      <w:bodyDiv w:val="1"/>
      <w:marLeft w:val="0"/>
      <w:marRight w:val="0"/>
      <w:marTop w:val="0"/>
      <w:marBottom w:val="0"/>
      <w:divBdr>
        <w:top w:val="none" w:sz="0" w:space="0" w:color="auto"/>
        <w:left w:val="none" w:sz="0" w:space="0" w:color="auto"/>
        <w:bottom w:val="none" w:sz="0" w:space="0" w:color="auto"/>
        <w:right w:val="none" w:sz="0" w:space="0" w:color="auto"/>
      </w:divBdr>
      <w:divsChild>
        <w:div w:id="928974941">
          <w:marLeft w:val="0"/>
          <w:marRight w:val="0"/>
          <w:marTop w:val="0"/>
          <w:marBottom w:val="0"/>
          <w:divBdr>
            <w:top w:val="none" w:sz="0" w:space="0" w:color="auto"/>
            <w:left w:val="none" w:sz="0" w:space="0" w:color="auto"/>
            <w:bottom w:val="none" w:sz="0" w:space="0" w:color="auto"/>
            <w:right w:val="none" w:sz="0" w:space="0" w:color="auto"/>
          </w:divBdr>
        </w:div>
      </w:divsChild>
    </w:div>
    <w:div w:id="1621719795">
      <w:bodyDiv w:val="1"/>
      <w:marLeft w:val="0"/>
      <w:marRight w:val="0"/>
      <w:marTop w:val="0"/>
      <w:marBottom w:val="0"/>
      <w:divBdr>
        <w:top w:val="none" w:sz="0" w:space="0" w:color="auto"/>
        <w:left w:val="none" w:sz="0" w:space="0" w:color="auto"/>
        <w:bottom w:val="none" w:sz="0" w:space="0" w:color="auto"/>
        <w:right w:val="none" w:sz="0" w:space="0" w:color="auto"/>
      </w:divBdr>
    </w:div>
    <w:div w:id="1645232729">
      <w:bodyDiv w:val="1"/>
      <w:marLeft w:val="0"/>
      <w:marRight w:val="0"/>
      <w:marTop w:val="0"/>
      <w:marBottom w:val="0"/>
      <w:divBdr>
        <w:top w:val="none" w:sz="0" w:space="0" w:color="auto"/>
        <w:left w:val="none" w:sz="0" w:space="0" w:color="auto"/>
        <w:bottom w:val="none" w:sz="0" w:space="0" w:color="auto"/>
        <w:right w:val="none" w:sz="0" w:space="0" w:color="auto"/>
      </w:divBdr>
    </w:div>
    <w:div w:id="1745685916">
      <w:bodyDiv w:val="1"/>
      <w:marLeft w:val="0"/>
      <w:marRight w:val="0"/>
      <w:marTop w:val="0"/>
      <w:marBottom w:val="0"/>
      <w:divBdr>
        <w:top w:val="none" w:sz="0" w:space="0" w:color="auto"/>
        <w:left w:val="none" w:sz="0" w:space="0" w:color="auto"/>
        <w:bottom w:val="none" w:sz="0" w:space="0" w:color="auto"/>
        <w:right w:val="none" w:sz="0" w:space="0" w:color="auto"/>
      </w:divBdr>
      <w:divsChild>
        <w:div w:id="191380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83499">
      <w:bodyDiv w:val="1"/>
      <w:marLeft w:val="0"/>
      <w:marRight w:val="0"/>
      <w:marTop w:val="0"/>
      <w:marBottom w:val="0"/>
      <w:divBdr>
        <w:top w:val="none" w:sz="0" w:space="0" w:color="auto"/>
        <w:left w:val="none" w:sz="0" w:space="0" w:color="auto"/>
        <w:bottom w:val="none" w:sz="0" w:space="0" w:color="auto"/>
        <w:right w:val="none" w:sz="0" w:space="0" w:color="auto"/>
      </w:divBdr>
    </w:div>
    <w:div w:id="1798522210">
      <w:bodyDiv w:val="1"/>
      <w:marLeft w:val="0"/>
      <w:marRight w:val="0"/>
      <w:marTop w:val="0"/>
      <w:marBottom w:val="0"/>
      <w:divBdr>
        <w:top w:val="none" w:sz="0" w:space="0" w:color="auto"/>
        <w:left w:val="none" w:sz="0" w:space="0" w:color="auto"/>
        <w:bottom w:val="none" w:sz="0" w:space="0" w:color="auto"/>
        <w:right w:val="none" w:sz="0" w:space="0" w:color="auto"/>
      </w:divBdr>
    </w:div>
    <w:div w:id="2111509374">
      <w:bodyDiv w:val="1"/>
      <w:marLeft w:val="0"/>
      <w:marRight w:val="0"/>
      <w:marTop w:val="0"/>
      <w:marBottom w:val="0"/>
      <w:divBdr>
        <w:top w:val="none" w:sz="0" w:space="0" w:color="auto"/>
        <w:left w:val="none" w:sz="0" w:space="0" w:color="auto"/>
        <w:bottom w:val="none" w:sz="0" w:space="0" w:color="auto"/>
        <w:right w:val="none" w:sz="0" w:space="0" w:color="auto"/>
      </w:divBdr>
    </w:div>
    <w:div w:id="2117669984">
      <w:bodyDiv w:val="1"/>
      <w:marLeft w:val="0"/>
      <w:marRight w:val="0"/>
      <w:marTop w:val="0"/>
      <w:marBottom w:val="0"/>
      <w:divBdr>
        <w:top w:val="none" w:sz="0" w:space="0" w:color="auto"/>
        <w:left w:val="none" w:sz="0" w:space="0" w:color="auto"/>
        <w:bottom w:val="none" w:sz="0" w:space="0" w:color="auto"/>
        <w:right w:val="none" w:sz="0" w:space="0" w:color="auto"/>
      </w:divBdr>
    </w:div>
    <w:div w:id="21182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D5FD-4426-4964-8BE7-48B53247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1054</Words>
  <Characters>6822</Characters>
  <Application>Microsoft Office Word</Application>
  <DocSecurity>0</DocSecurity>
  <Lines>259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Arsath mohamed</dc:creator>
  <cp:keywords/>
  <dc:description/>
  <cp:lastModifiedBy>Arsath mohamed</cp:lastModifiedBy>
  <cp:revision>1</cp:revision>
  <dcterms:created xsi:type="dcterms:W3CDTF">2025-05-26T05:54:00Z</dcterms:created>
  <dcterms:modified xsi:type="dcterms:W3CDTF">2025-05-26T06:58:00Z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91e9e64a-4011-4c37-92c1-88452d5b4f36</vt:lpwstr>
  </property>
</Properties>
</file>