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dasfdsf dsfds</w:t>
            </w:r>
            <w:r>
              <w:br/>
              <w:t xml:space="preserve">sdfdsf</w:t>
            </w:r>
            <w:r>
              <w:br/>
              <w:t xml:space="preserve">345345 sdfsdf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25-0030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dsfds,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18.05.2025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sdfdsf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3,423.00 €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3,423.00 €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3,423.00 €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650.37 €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4,073.37 €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