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qwq qw q</w:t>
            </w:r>
            <w:r>
              <w:br/>
              <w:t xml:space="preserve">sfdgsfgs</w:t>
            </w:r>
            <w:r>
              <w:br/>
              <w:t xml:space="preserve">453434 dfsf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25-0029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q,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18.08.2025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sdfs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34.00 €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34.00 €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34.00 €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6.46 €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40.46 €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