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Ереван: бутик 105 м² — модель по шагам</w:t>
      </w:r>
    </w:p>
    <w:p>
      <w:r>
        <w:t>Только 1-й этаж · не «перенос Тveri» · средний чек и UPT — из МойСклад (тот же товар, окт 2025).</w:t>
      </w:r>
    </w:p>
    <w:p>
      <w:pPr>
        <w:pStyle w:val="Heading1"/>
      </w:pPr>
      <w:r>
        <w:t>1. Отраслевой эталон (premium fashion, офлайн)</w:t>
      </w:r>
    </w:p>
    <w:p>
      <w:r>
        <w:t>Доли — от выручки. Ориентир US/EU (NYU Stern apparel, Nouz, BusinessDojo). Occupancy — 9% (как в эталоне). ФОТ для Еревана — 10–12% при базе ~35k $ (не US 16%). EBIT — до налога на прибыль / turnover.</w:t>
      </w:r>
    </w:p>
    <w:p>
      <w:r>
        <w:t>Структура выручки (%): COGS 43.1% · Occupancy 9% · ФОТ 11% · Маркетинг 3.5% · Прочий opex 10% · EBIT 23.4%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Статья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Что входит</w:t>
            </w:r>
          </w:p>
        </w:tc>
      </w:tr>
      <w:tr>
        <w:tc>
          <w:tcPr>
            <w:tcW w:type="dxa" w:w="2880"/>
          </w:tcPr>
          <w:p>
            <w:r>
              <w:t>Себестоимость (COGS)</w:t>
            </w:r>
          </w:p>
        </w:tc>
        <w:tc>
          <w:tcPr>
            <w:tcW w:type="dxa" w:w="2880"/>
          </w:tcPr>
          <w:p>
            <w:r>
              <w:t>43.1%</w:t>
            </w:r>
          </w:p>
        </w:tc>
        <w:tc>
          <w:tcPr>
            <w:tcW w:type="dxa" w:w="2880"/>
          </w:tcPr>
          <w:p>
            <w:r>
              <w:t>Закуп + списания в проданное</w:t>
            </w:r>
          </w:p>
        </w:tc>
      </w:tr>
      <w:tr>
        <w:tc>
          <w:tcPr>
            <w:tcW w:type="dxa" w:w="2880"/>
          </w:tcPr>
          <w:p>
            <w:r>
              <w:t>Occupancy</w:t>
            </w:r>
          </w:p>
        </w:tc>
        <w:tc>
          <w:tcPr>
            <w:tcW w:type="dxa" w:w="2880"/>
          </w:tcPr>
          <w:p>
            <w:r>
              <w:t>9.0%</w:t>
            </w:r>
          </w:p>
        </w:tc>
        <w:tc>
          <w:tcPr>
            <w:tcW w:type="dxa" w:w="2880"/>
          </w:tcPr>
          <w:p>
            <w:r>
              <w:t>Аренда, CAM, часть коммуналки</w:t>
            </w:r>
          </w:p>
        </w:tc>
      </w:tr>
      <w:tr>
        <w:tc>
          <w:tcPr>
            <w:tcW w:type="dxa" w:w="2880"/>
          </w:tcPr>
          <w:p>
            <w:r>
              <w:t>ФОТ</w:t>
            </w:r>
          </w:p>
        </w:tc>
        <w:tc>
          <w:tcPr>
            <w:tcW w:type="dxa" w:w="2880"/>
          </w:tcPr>
          <w:p>
            <w:r>
              <w:t>10–12% (модель 11%)</w:t>
            </w:r>
          </w:p>
        </w:tc>
        <w:tc>
          <w:tcPr>
            <w:tcW w:type="dxa" w:w="2880"/>
          </w:tcPr>
          <w:p>
            <w:r>
              <w:t>4 FTE premium, см. ниже</w:t>
            </w:r>
          </w:p>
        </w:tc>
      </w:tr>
      <w:tr>
        <w:tc>
          <w:tcPr>
            <w:tcW w:type="dxa" w:w="2880"/>
          </w:tcPr>
          <w:p>
            <w:r>
              <w:t>Маркетинг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  <w:tc>
          <w:tcPr>
            <w:tcW w:type="dxa" w:w="2880"/>
          </w:tcPr>
          <w:p>
            <w:r>
              <w:t>Офлайн-бутик, не DTC 20–30%</w:t>
            </w:r>
          </w:p>
        </w:tc>
      </w:tr>
      <w:tr>
        <w:tc>
          <w:tcPr>
            <w:tcW w:type="dxa" w:w="2880"/>
          </w:tcPr>
          <w:p>
            <w:r>
              <w:t>Прочий opex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  <w:tc>
          <w:tcPr>
            <w:tcW w:type="dxa" w:w="2880"/>
          </w:tcPr>
          <w:p>
            <w:r>
              <w:t>POS, эквайринг, shrink — экономный режим (~10%, не US 18%)</w:t>
            </w:r>
          </w:p>
        </w:tc>
      </w:tr>
      <w:tr>
        <w:tc>
          <w:tcPr>
            <w:tcW w:type="dxa" w:w="2880"/>
          </w:tcPr>
          <w:p>
            <w:r>
              <w:t>EBIT</w:t>
            </w:r>
          </w:p>
        </w:tc>
        <w:tc>
          <w:tcPr>
            <w:tcW w:type="dxa" w:w="2880"/>
          </w:tcPr>
          <w:p>
            <w:r>
              <w:t>23.4%</w:t>
            </w:r>
          </w:p>
        </w:tc>
        <w:tc>
          <w:tcPr>
            <w:tcW w:type="dxa" w:w="2880"/>
          </w:tcPr>
          <w:p>
            <w:r>
              <w:t>Опер. прибыль до налога</w:t>
            </w:r>
          </w:p>
        </w:tc>
      </w:tr>
    </w:tbl>
    <w:p/>
    <w:p>
      <w:pPr>
        <w:pStyle w:val="Heading2"/>
      </w:pPr>
      <w:r>
        <w:t>ФОТ: 4 сотрудника (2 в зале, сменность) — Ереван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Gross AMD/мес</w:t>
            </w:r>
          </w:p>
        </w:tc>
        <w:tc>
          <w:tcPr>
            <w:tcW w:type="dxa" w:w="2160"/>
          </w:tcPr>
          <w:p>
            <w: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продавец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280,000</w:t>
            </w:r>
          </w:p>
        </w:tc>
        <w:tc>
          <w:tcPr>
            <w:tcW w:type="dxa" w:w="2160"/>
          </w:tcPr>
          <w:p>
            <w:r>
              <w:t>premium retail</w:t>
            </w:r>
          </w:p>
        </w:tc>
      </w:tr>
      <w:tr>
        <w:tc>
          <w:tcPr>
            <w:tcW w:type="dxa" w:w="2160"/>
          </w:tcPr>
          <w:p>
            <w:r>
              <w:t>продавец (смена)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280,000</w:t>
            </w:r>
          </w:p>
        </w:tc>
        <w:tc>
          <w:tcPr>
            <w:tcW w:type="dxa" w:w="2160"/>
          </w:tcPr>
          <w:p>
            <w:r>
              <w:t>premium retail</w:t>
            </w:r>
          </w:p>
        </w:tc>
      </w:tr>
      <w:tr>
        <w:tc>
          <w:tcPr>
            <w:tcW w:type="dxa" w:w="2160"/>
          </w:tcPr>
          <w:p>
            <w:r>
              <w:t>старший / floor lead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420,000</w:t>
            </w:r>
          </w:p>
        </w:tc>
        <w:tc>
          <w:tcPr>
            <w:tcW w:type="dxa" w:w="2160"/>
          </w:tcPr>
          <w:p>
            <w:r>
              <w:t>лид зала, KPI</w:t>
            </w:r>
          </w:p>
        </w:tc>
      </w:tr>
    </w:tbl>
    <w:p/>
    <w:p>
      <w:r>
        <w:t>ФОТ gross / мес (без %): 3,290 $ · ≈ 1,260,000 AMD gross · + комиссия с выручки 2%</w:t>
      </w:r>
    </w:p>
    <w:p>
      <w:r>
        <w:t>При базе 35k $/мес и occupancy 9% (≈3,150 $ в P&amp;L, порядка 3,3k с коммуналкой в доле) на ФОТ разумно закладывать 10–12% выручки: фикс ~3,290 $ + 2% даёт ~11.4% при 35k $. В расчётах ниже — 11% (середина коридора).</w:t>
      </w:r>
    </w:p>
    <w:p>
      <w:r>
        <w:t>Работодатель в AM: расход ≈ gross; НДФЛ 20% и соц. часть удерживаются из зарплаты сотрудника, отдельного «соцналога сверх gross» для ИП/ООО обычно нет. Ставки — ориентир job.am luxury / ваш найм.</w:t>
      </w:r>
    </w:p>
    <w:p>
      <w:pPr>
        <w:pStyle w:val="Heading2"/>
      </w:pPr>
      <w:r>
        <w:t>Капитал и окупаемость (согласовано с выручкой)</w:t>
      </w:r>
    </w:p>
    <w:p>
      <w:r>
        <w:t>Инвестиция до opening: CAPEX 90,000 $ + товар 10 мес. COGS (≈2 сезона) + runway 3 мес. операционки (без COGS) + буфер 20,000 $. Окупаемость — капитал ÷ (EBIT × 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Формат 105 м²</w:t>
            </w:r>
          </w:p>
        </w:tc>
        <w:tc>
          <w:tcPr>
            <w:tcW w:type="dxa" w:w="1440"/>
          </w:tcPr>
          <w:p>
            <w:r>
              <w:t>Выручка/мес</w:t>
            </w:r>
          </w:p>
        </w:tc>
        <w:tc>
          <w:tcPr>
            <w:tcW w:type="dxa" w:w="1440"/>
          </w:tcPr>
          <w:p>
            <w:r>
              <w:t>Капитал</w:t>
            </w:r>
          </w:p>
        </w:tc>
        <w:tc>
          <w:tcPr>
            <w:tcW w:type="dxa" w:w="1440"/>
          </w:tcPr>
          <w:p>
            <w:r>
              <w:t>EBIT/мес (модель)</w:t>
            </w:r>
          </w:p>
        </w:tc>
        <w:tc>
          <w:tcPr>
            <w:tcW w:type="dxa" w:w="1440"/>
          </w:tcPr>
          <w:p>
            <w:r>
              <w:t>Окупаемость</w:t>
            </w:r>
          </w:p>
        </w:tc>
        <w:tc>
          <w:tcPr>
            <w:tcW w:type="dxa" w:w="1440"/>
          </w:tcPr>
          <w:p>
            <w:r>
              <w:t>Чеков/день</w:t>
            </w:r>
          </w:p>
        </w:tc>
      </w:tr>
      <w:tr>
        <w:tc>
          <w:tcPr>
            <w:tcW w:type="dxa" w:w="1440"/>
          </w:tcPr>
          <w:p>
            <w:r>
              <w:t>Улица — слабый трафик</w:t>
            </w:r>
          </w:p>
        </w:tc>
        <w:tc>
          <w:tcPr>
            <w:tcW w:type="dxa" w:w="1440"/>
          </w:tcPr>
          <w:p>
            <w:r>
              <w:t>14k $</w:t>
            </w:r>
          </w:p>
        </w:tc>
        <w:tc>
          <w:tcPr>
            <w:tcW w:type="dxa" w:w="1440"/>
          </w:tcPr>
          <w:p>
            <w:r>
              <w:t>185k $</w:t>
            </w:r>
          </w:p>
        </w:tc>
        <w:tc>
          <w:tcPr>
            <w:tcW w:type="dxa" w:w="1440"/>
          </w:tcPr>
          <w:p>
            <w:r>
              <w:t>3,306 $</w:t>
            </w:r>
          </w:p>
        </w:tc>
        <w:tc>
          <w:tcPr>
            <w:tcW w:type="dxa" w:w="1440"/>
          </w:tcPr>
          <w:p>
            <w:r>
              <w:t>4.7 лет</w:t>
            </w:r>
          </w:p>
        </w:tc>
        <w:tc>
          <w:tcPr>
            <w:tcW w:type="dxa" w:w="1440"/>
          </w:tcPr>
          <w:p>
            <w:r>
              <w:t>1.2</w:t>
            </w:r>
          </w:p>
        </w:tc>
      </w:tr>
      <w:tr>
        <w:tc>
          <w:tcPr>
            <w:tcW w:type="dxa" w:w="1440"/>
          </w:tcPr>
          <w:p>
            <w:r>
              <w:t>Улица — базовый уровень</w:t>
            </w:r>
          </w:p>
        </w:tc>
        <w:tc>
          <w:tcPr>
            <w:tcW w:type="dxa" w:w="1440"/>
          </w:tcPr>
          <w:p>
            <w:r>
              <w:t>24k $</w:t>
            </w:r>
          </w:p>
        </w:tc>
        <w:tc>
          <w:tcPr>
            <w:tcW w:type="dxa" w:w="1440"/>
          </w:tcPr>
          <w:p>
            <w:r>
              <w:t>235k $</w:t>
            </w:r>
          </w:p>
        </w:tc>
        <w:tc>
          <w:tcPr>
            <w:tcW w:type="dxa" w:w="1440"/>
          </w:tcPr>
          <w:p>
            <w:r>
              <w:t>5,510 $</w:t>
            </w:r>
          </w:p>
        </w:tc>
        <w:tc>
          <w:tcPr>
            <w:tcW w:type="dxa" w:w="1440"/>
          </w:tcPr>
          <w:p>
            <w:r>
              <w:t>3.6 лет</w:t>
            </w:r>
          </w:p>
        </w:tc>
        <w:tc>
          <w:tcPr>
            <w:tcW w:type="dxa" w:w="1440"/>
          </w:tcPr>
          <w:p>
            <w:r>
              <w:t>2.0</w:t>
            </w:r>
          </w:p>
        </w:tc>
      </w:tr>
      <w:tr>
        <w:tc>
          <w:tcPr>
            <w:tcW w:type="dxa" w:w="1440"/>
          </w:tcPr>
          <w:p>
            <w:r>
              <w:t>Улица — сильная локация</w:t>
            </w:r>
          </w:p>
        </w:tc>
        <w:tc>
          <w:tcPr>
            <w:tcW w:type="dxa" w:w="1440"/>
          </w:tcPr>
          <w:p>
            <w:r>
              <w:t>33k $</w:t>
            </w:r>
          </w:p>
        </w:tc>
        <w:tc>
          <w:tcPr>
            <w:tcW w:type="dxa" w:w="1440"/>
          </w:tcPr>
          <w:p>
            <w:r>
              <w:t>285k $</w:t>
            </w:r>
          </w:p>
        </w:tc>
        <w:tc>
          <w:tcPr>
            <w:tcW w:type="dxa" w:w="1440"/>
          </w:tcPr>
          <w:p>
            <w:r>
              <w:t>7,714 $</w:t>
            </w:r>
          </w:p>
        </w:tc>
        <w:tc>
          <w:tcPr>
            <w:tcW w:type="dxa" w:w="1440"/>
          </w:tcPr>
          <w:p>
            <w:r>
              <w:t>3.1 лет</w:t>
            </w:r>
          </w:p>
        </w:tc>
        <w:tc>
          <w:tcPr>
            <w:tcW w:type="dxa" w:w="1440"/>
          </w:tcPr>
          <w:p>
            <w:r>
              <w:t>2.8</w:t>
            </w:r>
          </w:p>
        </w:tc>
      </w:tr>
      <w:tr>
        <w:tc>
          <w:tcPr>
            <w:tcW w:type="dxa" w:w="1440"/>
          </w:tcPr>
          <w:p>
            <w:r>
              <w:t>ТЦ — Class A (низ диапазона)</w:t>
            </w:r>
          </w:p>
        </w:tc>
        <w:tc>
          <w:tcPr>
            <w:tcW w:type="dxa" w:w="1440"/>
          </w:tcPr>
          <w:p>
            <w:r>
              <w:t>38k $</w:t>
            </w:r>
          </w:p>
        </w:tc>
        <w:tc>
          <w:tcPr>
            <w:tcW w:type="dxa" w:w="1440"/>
          </w:tcPr>
          <w:p>
            <w:r>
              <w:t>310k $</w:t>
            </w:r>
          </w:p>
        </w:tc>
        <w:tc>
          <w:tcPr>
            <w:tcW w:type="dxa" w:w="1440"/>
          </w:tcPr>
          <w:p>
            <w:r>
              <w:t>8,816 $</w:t>
            </w:r>
          </w:p>
        </w:tc>
        <w:tc>
          <w:tcPr>
            <w:tcW w:type="dxa" w:w="1440"/>
          </w:tcPr>
          <w:p>
            <w:r>
              <w:t>2.9 лет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ТЦ — Class A (верх диапазона)</w:t>
            </w:r>
          </w:p>
        </w:tc>
        <w:tc>
          <w:tcPr>
            <w:tcW w:type="dxa" w:w="1440"/>
          </w:tcPr>
          <w:p>
            <w:r>
              <w:t>57k $</w:t>
            </w:r>
          </w:p>
        </w:tc>
        <w:tc>
          <w:tcPr>
            <w:tcW w:type="dxa" w:w="1440"/>
          </w:tcPr>
          <w:p>
            <w:r>
              <w:t>410k $</w:t>
            </w:r>
          </w:p>
        </w:tc>
        <w:tc>
          <w:tcPr>
            <w:tcW w:type="dxa" w:w="1440"/>
          </w:tcPr>
          <w:p>
            <w:r>
              <w:t>13,224 $</w:t>
            </w:r>
          </w:p>
        </w:tc>
        <w:tc>
          <w:tcPr>
            <w:tcW w:type="dxa" w:w="1440"/>
          </w:tcPr>
          <w:p>
            <w:r>
              <w:t>2.6 лет</w:t>
            </w:r>
          </w:p>
        </w:tc>
        <w:tc>
          <w:tcPr>
            <w:tcW w:type="dxa" w:w="1440"/>
          </w:tcPr>
          <w:p>
            <w:r>
              <w:t>4.7</w:t>
            </w:r>
          </w:p>
        </w:tc>
      </w:tr>
    </w:tbl>
    <w:p/>
    <w:p>
      <w:r>
        <w:t>Выручка из $/sq ft/год: 105 м² ≈ 1130 ft². Средний чек ~398 $, UPT ~1.9 (MS).</w:t>
      </w:r>
    </w:p>
    <w:p>
      <w:pPr>
        <w:pStyle w:val="Heading1"/>
      </w:pPr>
      <w:r>
        <w:t>2. Ваше помещение: 8,500 $ +10% + коммуналка</w:t>
      </w:r>
    </w:p>
    <w:p>
      <w:r>
        <w:t>Аренда/мес: 9,350 $ · + коммуналка: 600 $ · Итого occupancy: 9,950 $/мес.</w:t>
      </w:r>
    </w:p>
    <w:p>
      <w:r>
        <w:t>Обратный расчёт: COGS, ФОТ (11%), маркетинг и прочее — как в §1, аренда фиксирована 9,950 $/мес.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Цель</w:t>
            </w:r>
          </w:p>
        </w:tc>
        <w:tc>
          <w:tcPr>
            <w:tcW w:type="dxa" w:w="2160"/>
          </w:tcPr>
          <w:p>
            <w:r>
              <w:t>Нужная выручка/мес</w:t>
            </w:r>
          </w:p>
        </w:tc>
        <w:tc>
          <w:tcPr>
            <w:tcW w:type="dxa" w:w="2160"/>
          </w:tcPr>
          <w:p>
            <w:r>
              <w:t>Occupancy %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EBIT = 0 (в ноль)</w:t>
            </w:r>
          </w:p>
        </w:tc>
        <w:tc>
          <w:tcPr>
            <w:tcW w:type="dxa" w:w="2160"/>
          </w:tcPr>
          <w:p>
            <w:r>
              <w:t>31k $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  <w:tc>
          <w:tcPr>
            <w:tcW w:type="dxa" w:w="2160"/>
          </w:tcPr>
          <w:p>
            <w:r>
              <w:t>Ниже — убыток при модельном opex</w:t>
            </w:r>
          </w:p>
        </w:tc>
      </w:tr>
      <w:tr>
        <w:tc>
          <w:tcPr>
            <w:tcW w:type="dxa" w:w="2160"/>
          </w:tcPr>
          <w:p>
            <w:r>
              <w:t>EBIT ≈ 6%</w:t>
            </w:r>
          </w:p>
        </w:tc>
        <w:tc>
          <w:tcPr>
            <w:tcW w:type="dxa" w:w="2160"/>
          </w:tcPr>
          <w:p>
            <w:r>
              <w:t>38k $</w:t>
            </w:r>
          </w:p>
        </w:tc>
        <w:tc>
          <w:tcPr>
            <w:tcW w:type="dxa" w:w="2160"/>
          </w:tcPr>
          <w:p>
            <w:r>
              <w:t>26.4%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EBIT ≈ 23.4% (модель)</w:t>
            </w:r>
          </w:p>
        </w:tc>
        <w:tc>
          <w:tcPr>
            <w:tcW w:type="dxa" w:w="2160"/>
          </w:tcPr>
          <w:p>
            <w:r>
              <w:t>111k $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Эталон occupancy в P&amp;L — 9%</w:t>
            </w:r>
          </w:p>
        </w:tc>
      </w:tr>
      <w:tr>
        <w:tc>
          <w:tcPr>
            <w:tcW w:type="dxa" w:w="2160"/>
          </w:tcPr>
          <w:p>
            <w:r>
              <w:t>Правило «аренда = 15%» (только rent)</w:t>
            </w:r>
          </w:p>
        </w:tc>
        <w:tc>
          <w:tcPr>
            <w:tcW w:type="dxa" w:w="2160"/>
          </w:tcPr>
          <w:p>
            <w:r>
              <w:t>62k $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Без коммуналки</w:t>
            </w:r>
          </w:p>
        </w:tc>
      </w:tr>
      <w:tr>
        <w:tc>
          <w:tcPr>
            <w:tcW w:type="dxa" w:w="2160"/>
          </w:tcPr>
          <w:p>
            <w:r>
              <w:t>Occupancy = 9% (эталон)</w:t>
            </w:r>
          </w:p>
        </w:tc>
        <w:tc>
          <w:tcPr>
            <w:tcW w:type="dxa" w:w="2160"/>
          </w:tcPr>
          <w:p>
            <w:r>
              <w:t>111k $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Если бы платили как «нормальный» бутик</w:t>
            </w:r>
          </w:p>
        </w:tc>
      </w:tr>
    </w:tbl>
    <w:p/>
    <w:p>
      <w:pPr>
        <w:pStyle w:val="Heading2"/>
      </w:pPr>
      <w:r>
        <w:t>Пример KPI при выручке ~111k $/мес</w:t>
      </w:r>
    </w:p>
    <w:p>
      <w:r>
        <w:t>Чеков/мес: 278 · Чеков/день: 9.3 · Единиц/мес: 508 · Средний чек: 398 $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Конверсия заход → покупка</w:t>
            </w:r>
          </w:p>
        </w:tc>
        <w:tc>
          <w:tcPr>
            <w:tcW w:type="dxa" w:w="4320"/>
          </w:tcPr>
          <w:p>
            <w:r>
              <w:t>Заходов в магазин/день</w:t>
            </w:r>
          </w:p>
        </w:tc>
      </w:tr>
      <w:tr>
        <w:tc>
          <w:tcPr>
            <w:tcW w:type="dxa" w:w="4320"/>
          </w:tcPr>
          <w:p>
            <w:r>
              <w:t>8%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10%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12%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</w:tbl>
    <w:p/>
    <w:p>
      <w:r>
        <w:t>Что ломается на «базовых» 24k $: occupancy 41.5% (в модели 9%). EBIT при модельном opex: -9.1% — убыток. Капитал при 24k: ~238k $.</w:t>
      </w:r>
    </w:p>
    <w:p>
      <w:pPr>
        <w:pStyle w:val="Heading1"/>
      </w:pPr>
      <w:r>
        <w:t>3. Ориентиры на 105 м²: улица и ТЦ</w:t>
      </w:r>
    </w:p>
    <w:p>
      <w:r>
        <w:t>Отраслевая картина (9% occupancy в P&amp;L) vs факт 9,950 $/мес. Цель по окупаемости — порядка 5 лет по EBIT.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Формат</w:t>
            </w:r>
          </w:p>
        </w:tc>
        <w:tc>
          <w:tcPr>
            <w:tcW w:type="dxa" w:w="1080"/>
          </w:tcPr>
          <w:p>
            <w:r>
              <w:t>$/ft²/год</w:t>
            </w:r>
          </w:p>
        </w:tc>
        <w:tc>
          <w:tcPr>
            <w:tcW w:type="dxa" w:w="1080"/>
          </w:tcPr>
          <w:p>
            <w:r>
              <w:t>Выручка</w:t>
            </w:r>
          </w:p>
        </w:tc>
        <w:tc>
          <w:tcPr>
            <w:tcW w:type="dxa" w:w="1080"/>
          </w:tcPr>
          <w:p>
            <w:r>
              <w:t>Капитал</w:t>
            </w:r>
          </w:p>
        </w:tc>
        <w:tc>
          <w:tcPr>
            <w:tcW w:type="dxa" w:w="1080"/>
          </w:tcPr>
          <w:p>
            <w:r>
              <w:t>EBIT % модель</w:t>
            </w:r>
          </w:p>
        </w:tc>
        <w:tc>
          <w:tcPr>
            <w:tcW w:type="dxa" w:w="1080"/>
          </w:tcPr>
          <w:p>
            <w:r>
              <w:t>EBIT % при факт. аренде</w:t>
            </w:r>
          </w:p>
        </w:tc>
        <w:tc>
          <w:tcPr>
            <w:tcW w:type="dxa" w:w="1080"/>
          </w:tcPr>
          <w:p>
            <w:r>
              <w:t>Окупаемость</w:t>
            </w:r>
          </w:p>
        </w:tc>
        <w:tc>
          <w:tcPr>
            <w:tcW w:type="dxa" w:w="1080"/>
          </w:tcPr>
          <w:p>
            <w:r>
              <w:t>Оценка</w:t>
            </w:r>
          </w:p>
        </w:tc>
      </w:tr>
      <w:tr>
        <w:tc>
          <w:tcPr>
            <w:tcW w:type="dxa" w:w="1080"/>
          </w:tcPr>
          <w:p>
            <w:r>
              <w:t>Улица — слабый трафик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14k $</w:t>
            </w:r>
          </w:p>
        </w:tc>
        <w:tc>
          <w:tcPr>
            <w:tcW w:type="dxa" w:w="1080"/>
          </w:tcPr>
          <w:p>
            <w:r>
              <w:t>185k $</w:t>
            </w:r>
          </w:p>
        </w:tc>
        <w:tc>
          <w:tcPr>
            <w:tcW w:type="dxa" w:w="1080"/>
          </w:tcPr>
          <w:p>
            <w:r>
              <w:t>23.4%</w:t>
            </w:r>
          </w:p>
        </w:tc>
        <w:tc>
          <w:tcPr>
            <w:tcW w:type="dxa" w:w="1080"/>
          </w:tcPr>
          <w:p>
            <w:r>
              <w:t>-38.0%</w:t>
            </w:r>
          </w:p>
        </w:tc>
        <w:tc>
          <w:tcPr>
            <w:tcW w:type="dxa" w:w="1080"/>
          </w:tcPr>
          <w:p>
            <w:r>
              <w:t>4.7 лет</w:t>
            </w:r>
          </w:p>
        </w:tc>
        <w:tc>
          <w:tcPr>
            <w:tcW w:type="dxa" w:w="1080"/>
          </w:tcPr>
          <w:p>
            <w:r>
              <w:t>убыток при вашей аренде</w:t>
            </w:r>
          </w:p>
        </w:tc>
      </w:tr>
      <w:tr>
        <w:tc>
          <w:tcPr>
            <w:tcW w:type="dxa" w:w="1080"/>
          </w:tcPr>
          <w:p>
            <w:r>
              <w:t>Улица — базовый уровень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24k $</w:t>
            </w:r>
          </w:p>
        </w:tc>
        <w:tc>
          <w:tcPr>
            <w:tcW w:type="dxa" w:w="1080"/>
          </w:tcPr>
          <w:p>
            <w:r>
              <w:t>235k $</w:t>
            </w:r>
          </w:p>
        </w:tc>
        <w:tc>
          <w:tcPr>
            <w:tcW w:type="dxa" w:w="1080"/>
          </w:tcPr>
          <w:p>
            <w:r>
              <w:t>23.4%</w:t>
            </w:r>
          </w:p>
        </w:tc>
        <w:tc>
          <w:tcPr>
            <w:tcW w:type="dxa" w:w="1080"/>
          </w:tcPr>
          <w:p>
            <w:r>
              <w:t>-9.9%</w:t>
            </w:r>
          </w:p>
        </w:tc>
        <w:tc>
          <w:tcPr>
            <w:tcW w:type="dxa" w:w="1080"/>
          </w:tcPr>
          <w:p>
            <w:r>
              <w:t>3.6 лет</w:t>
            </w:r>
          </w:p>
        </w:tc>
        <w:tc>
          <w:tcPr>
            <w:tcW w:type="dxa" w:w="1080"/>
          </w:tcPr>
          <w:p>
            <w:r>
              <w:t>убыток при вашей аренде</w:t>
            </w:r>
          </w:p>
        </w:tc>
      </w:tr>
      <w:tr>
        <w:tc>
          <w:tcPr>
            <w:tcW w:type="dxa" w:w="1080"/>
          </w:tcPr>
          <w:p>
            <w:r>
              <w:t>Улица — сильная локация</w:t>
            </w:r>
          </w:p>
        </w:tc>
        <w:tc>
          <w:tcPr>
            <w:tcW w:type="dxa" w:w="1080"/>
          </w:tcPr>
          <w:p>
            <w:r>
              <w:t>350</w:t>
            </w:r>
          </w:p>
        </w:tc>
        <w:tc>
          <w:tcPr>
            <w:tcW w:type="dxa" w:w="1080"/>
          </w:tcPr>
          <w:p>
            <w:r>
              <w:t>33k $</w:t>
            </w:r>
          </w:p>
        </w:tc>
        <w:tc>
          <w:tcPr>
            <w:tcW w:type="dxa" w:w="1080"/>
          </w:tcPr>
          <w:p>
            <w:r>
              <w:t>285k $</w:t>
            </w:r>
          </w:p>
        </w:tc>
        <w:tc>
          <w:tcPr>
            <w:tcW w:type="dxa" w:w="1080"/>
          </w:tcPr>
          <w:p>
            <w:r>
              <w:t>23.4%</w:t>
            </w:r>
          </w:p>
        </w:tc>
        <w:tc>
          <w:tcPr>
            <w:tcW w:type="dxa" w:w="1080"/>
          </w:tcPr>
          <w:p>
            <w:r>
              <w:t>2.2%</w:t>
            </w:r>
          </w:p>
        </w:tc>
        <w:tc>
          <w:tcPr>
            <w:tcW w:type="dxa" w:w="1080"/>
          </w:tcPr>
          <w:p>
            <w:r>
              <w:t>3.1 лет</w:t>
            </w:r>
          </w:p>
        </w:tc>
        <w:tc>
          <w:tcPr>
            <w:tcW w:type="dxa" w:w="1080"/>
          </w:tcPr>
          <w:p>
            <w:r>
              <w:t>нужен торг аренды или рост выручки</w:t>
            </w:r>
          </w:p>
        </w:tc>
      </w:tr>
      <w:tr>
        <w:tc>
          <w:tcPr>
            <w:tcW w:type="dxa" w:w="1080"/>
          </w:tcPr>
          <w:p>
            <w:r>
              <w:t>ТЦ — Class A (низ диапазона)</w:t>
            </w:r>
          </w:p>
        </w:tc>
        <w:tc>
          <w:tcPr>
            <w:tcW w:type="dxa" w:w="1080"/>
          </w:tcPr>
          <w:p>
            <w:r>
              <w:t>400</w:t>
            </w:r>
          </w:p>
        </w:tc>
        <w:tc>
          <w:tcPr>
            <w:tcW w:type="dxa" w:w="1080"/>
          </w:tcPr>
          <w:p>
            <w:r>
              <w:t>38k $</w:t>
            </w:r>
          </w:p>
        </w:tc>
        <w:tc>
          <w:tcPr>
            <w:tcW w:type="dxa" w:w="1080"/>
          </w:tcPr>
          <w:p>
            <w:r>
              <w:t>310k $</w:t>
            </w:r>
          </w:p>
        </w:tc>
        <w:tc>
          <w:tcPr>
            <w:tcW w:type="dxa" w:w="1080"/>
          </w:tcPr>
          <w:p>
            <w:r>
              <w:t>23.4%</w:t>
            </w:r>
          </w:p>
        </w:tc>
        <w:tc>
          <w:tcPr>
            <w:tcW w:type="dxa" w:w="1080"/>
          </w:tcPr>
          <w:p>
            <w:r>
              <w:t>6.0%</w:t>
            </w:r>
          </w:p>
        </w:tc>
        <w:tc>
          <w:tcPr>
            <w:tcW w:type="dxa" w:w="1080"/>
          </w:tcPr>
          <w:p>
            <w:r>
              <w:t>2.9 лет</w:t>
            </w:r>
          </w:p>
        </w:tc>
        <w:tc>
          <w:tcPr>
            <w:tcW w:type="dxa" w:w="1080"/>
          </w:tcPr>
          <w:p>
            <w:r>
              <w:t>нужен торг аренды или рост выручки</w:t>
            </w:r>
          </w:p>
        </w:tc>
      </w:tr>
      <w:tr>
        <w:tc>
          <w:tcPr>
            <w:tcW w:type="dxa" w:w="1080"/>
          </w:tcPr>
          <w:p>
            <w:r>
              <w:t>ТЦ — Class A (верх диапазона)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57k $</w:t>
            </w:r>
          </w:p>
        </w:tc>
        <w:tc>
          <w:tcPr>
            <w:tcW w:type="dxa" w:w="1080"/>
          </w:tcPr>
          <w:p>
            <w:r>
              <w:t>410k $</w:t>
            </w:r>
          </w:p>
        </w:tc>
        <w:tc>
          <w:tcPr>
            <w:tcW w:type="dxa" w:w="1080"/>
          </w:tcPr>
          <w:p>
            <w:r>
              <w:t>23.4%</w:t>
            </w:r>
          </w:p>
        </w:tc>
        <w:tc>
          <w:tcPr>
            <w:tcW w:type="dxa" w:w="1080"/>
          </w:tcPr>
          <w:p>
            <w:r>
              <w:t>14.8%</w:t>
            </w:r>
          </w:p>
        </w:tc>
        <w:tc>
          <w:tcPr>
            <w:tcW w:type="dxa" w:w="1080"/>
          </w:tcPr>
          <w:p>
            <w:r>
              <w:t>2.6 лет</w:t>
            </w:r>
          </w:p>
        </w:tc>
        <w:tc>
          <w:tcPr>
            <w:tcW w:type="dxa" w:w="1080"/>
          </w:tcPr>
          <w:p>
            <w:r>
              <w:t>сходится по порядку величин</w:t>
            </w:r>
          </w:p>
        </w:tc>
      </w:tr>
    </w:tbl>
    <w:p/>
    <w:p>
      <w:pPr>
        <w:pStyle w:val="Heading2"/>
      </w:pPr>
      <w:r>
        <w:t>Улица — кратко</w:t>
      </w:r>
    </w:p>
    <w:p>
      <w:pPr>
        <w:pStyle w:val="ListBullet"/>
      </w:pPr>
      <w:r>
        <w:t>Улица — слабый трафик. Нужен destination, сильный маркетинг ~14k $/мес · 1.2 чеков/день · при conv. 10% ~12 заходов/день. Капитал ~185k $ · при вашей аренде EBIT -38.0%.</w:t>
      </w:r>
    </w:p>
    <w:p>
      <w:pPr>
        <w:pStyle w:val="ListBullet"/>
      </w:pPr>
      <w:r>
        <w:t>Улица — базовый уровень. Нормальная пешая улица, витрина ~24k $/мес · 2.0 чеков/день · при conv. 10% ~20 заходов/день. Капитал ~235k $ · при вашей аренде EBIT -9.9%.</w:t>
      </w:r>
    </w:p>
    <w:p>
      <w:pPr>
        <w:pStyle w:val="ListBullet"/>
      </w:pPr>
      <w:r>
        <w:t>Улица — сильная локация. Хороший поток + сервис ~33k $/мес · 2.8 чеков/день · при conv. 10% ~28 заходов/день. Капитал ~285k $ · при вашей аренде EBIT 2.2%.</w:t>
      </w:r>
    </w:p>
    <w:p>
      <w:r>
        <w:t>Итог: при ФОТ 11% (коридор 10–12% при базе ~35k) и occupancy 9% в модели объект 9,950 $/мес требует выручки порядка 111k $ для ~23.4% EBIT, либо аренды ближе к 2,119 $ при улице ~24k $. Налоги AM — отдельно.</w:t>
      </w:r>
    </w:p>
    <w:p>
      <w:pPr>
        <w:pStyle w:val="IntenseQuote"/>
      </w:pPr>
      <w:r>
        <w:t>Источники: MS retaildemand + profit_byproduct окт 2025 · отрасль NYU Stern / Nouz / BusinessDojo · FX ₽/$ = 95, AMD/$ = 383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