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i w:val="0"/>
          <w:color w:val="1A5F7A"/>
          <w:sz w:val="52"/>
        </w:rPr>
        <w:t>Фитнес-приложение</w:t>
        <w:br/>
        <w:t>для тренера и спортсменов</w:t>
      </w:r>
    </w:p>
    <w:p>
      <w:pPr>
        <w:jc w:val="center"/>
      </w:pPr>
      <w:r>
        <w:rPr>
          <w:rFonts w:ascii="Calibri" w:hAnsi="Calibri"/>
          <w:b w:val="0"/>
          <w:i w:val="0"/>
          <w:color w:val="5D6D7E"/>
          <w:sz w:val="28"/>
        </w:rPr>
        <w:t>Научно обоснованные ключевые особенности продукта</w:t>
      </w:r>
    </w:p>
    <w:p/>
    <w:p>
      <w:pPr>
        <w:jc w:val="center"/>
      </w:pPr>
      <w:r>
        <w:rPr>
          <w:rFonts w:ascii="Calibri" w:hAnsi="Calibri"/>
          <w:b w:val="0"/>
          <w:i w:val="0"/>
          <w:color w:val="5D6D7E"/>
          <w:sz w:val="22"/>
        </w:rPr>
        <w:t>Документ для обсуждения с тренером</w:t>
        <w:br/>
      </w:r>
      <w:r>
        <w:rPr>
          <w:rFonts w:ascii="Calibri" w:hAnsi="Calibri"/>
          <w:b w:val="0"/>
          <w:i w:val="0"/>
          <w:color w:val="5D6D7E"/>
          <w:sz w:val="22"/>
        </w:rPr>
        <w:t>Июнь 2026</w:t>
      </w:r>
    </w:p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i w:val="0"/>
          <w:color w:val="1A5F7A"/>
          <w:sz w:val="36"/>
        </w:rPr>
        <w:t>О документе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Этот документ описывает ключевые функции мобильного фитнес-приложения для тренеров и спортсменов, опираясь исключительно на рецензируемые научные исследования. Цель — повысить регулярность использования, улучшить пользовательский опыт и создать продукт, который люди захотят покупать и рекомендовать.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Основные разделы: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Научная логика: почему пользователи остаются в приложении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Блок 1. Система прогресса и достижений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Блок 2. Автономия спортсмена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Блок 3. Социальность и связь тренер — спортсмен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Блок 4. Поведенческие техники (BCT)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Блок 5. Специфика «тренер + спортсмен»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Блок 6. Чего избегать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Блок 7. Как это конвертируется в продажи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Приоритетный roadmap и список источников</w:t>
      </w:r>
    </w:p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i w:val="0"/>
          <w:color w:val="1A5F7A"/>
          <w:sz w:val="36"/>
        </w:rPr>
        <w:t>Научная логика: что реально удерживает пользователей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Исследования сходятся на одном: регулярное использование и положительный опыт возникают не от «ещё одного трекера», а от удовлетворения трёх базовых психологических потребностей по теории самодетерминации (Self-Determination Theory, SDT) — Ryan &amp; Deci, 2000; Ng et al., 2012.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fill="1A5F7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Потребность</w:t>
            </w:r>
          </w:p>
        </w:tc>
        <w:tc>
          <w:tcPr>
            <w:tcW w:type="dxa" w:w="3118"/>
            <w:shd w:fill="1A5F7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Смысл</w:t>
            </w:r>
          </w:p>
        </w:tc>
        <w:tc>
          <w:tcPr>
            <w:tcW w:type="dxa" w:w="3402"/>
            <w:shd w:fill="1A5F7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Что это даёт продукту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Компетентность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«Я справляюсь, я прогрессирую»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Регулярные тренировки, ощущение результата</w:t>
            </w:r>
          </w:p>
        </w:tc>
      </w:tr>
      <w:tr>
        <w:tc>
          <w:tcPr>
            <w:tcW w:type="dxa" w:w="1984"/>
            <w:shd w:fill="F0F7FA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Автономия</w:t>
            </w:r>
          </w:p>
        </w:tc>
        <w:tc>
          <w:tcPr>
            <w:tcW w:type="dxa" w:w="3118"/>
            <w:shd w:fill="F0F7FA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«Я сам выбираю, как тренироваться»</w:t>
            </w:r>
          </w:p>
        </w:tc>
        <w:tc>
          <w:tcPr>
            <w:tcW w:type="dxa" w:w="3402"/>
            <w:shd w:fill="F0F7FA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Долгосрочная мотивация, меньше выгорания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Связанность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«Меня видят, поддерживают»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Удержание, сарафан, готовность платить</w:t>
            </w:r>
          </w:p>
        </w:tc>
      </w:tr>
    </w:tbl>
    <w:p/>
    <w:p>
      <w:pPr>
        <w:spacing w:before="280" w:after="160"/>
      </w:pPr>
      <w:r>
        <w:rPr>
          <w:rFonts w:ascii="Calibri" w:hAnsi="Calibri"/>
          <w:b/>
          <w:i w:val="0"/>
          <w:color w:val="2E86AB"/>
          <w:sz w:val="28"/>
        </w:rPr>
        <w:t>Ключевые выводы исследования Bitrián, Buil &amp; Catalán (2020)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Статья: Gamification in sport apps: the determinants of users' motivation. Выборка: 153 пользователя спортивных приложений (Strava, Garmin, Nike+ и др.).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2C3E50"/>
          <w:sz w:val="22"/>
        </w:rPr>
        <w:t xml:space="preserve">Элементы достижений: </w:t>
      </w:r>
      <w:r>
        <w:rPr>
          <w:rFonts w:ascii="Calibri" w:hAnsi="Calibri"/>
          <w:b w:val="0"/>
          <w:i w:val="0"/>
          <w:color w:val="2C3E50"/>
          <w:sz w:val="22"/>
        </w:rPr>
        <w:t>бейджи, очки, прогресс-бары, рейтинги, растущая сложность → удовлетворяют все три потребности (β = 0.307–0.331, p &lt; 0.001)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2C3E50"/>
          <w:sz w:val="22"/>
        </w:rPr>
        <w:t xml:space="preserve">Социальные элементы: </w:t>
      </w:r>
      <w:r>
        <w:rPr>
          <w:rFonts w:ascii="Calibri" w:hAnsi="Calibri"/>
          <w:b w:val="0"/>
          <w:i w:val="0"/>
          <w:color w:val="2C3E50"/>
          <w:sz w:val="22"/>
        </w:rPr>
        <w:t>в основном связанность — самый сильный эффект в модели (β = 0.721, p &lt; 0.000)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2C3E50"/>
          <w:sz w:val="22"/>
        </w:rPr>
        <w:t xml:space="preserve">Иммерсивные элементы: </w:t>
      </w:r>
      <w:r>
        <w:rPr>
          <w:rFonts w:ascii="Calibri" w:hAnsi="Calibri"/>
          <w:b w:val="0"/>
          <w:i w:val="0"/>
          <w:color w:val="2C3E50"/>
          <w:sz w:val="22"/>
        </w:rPr>
        <w:t>аватар, персонализация → компетентность и автономия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2C3E50"/>
          <w:sz w:val="22"/>
        </w:rPr>
        <w:t xml:space="preserve">Автономная мотивация: </w:t>
      </w:r>
      <w:r>
        <w:rPr>
          <w:rFonts w:ascii="Calibri" w:hAnsi="Calibri"/>
          <w:b w:val="0"/>
          <w:i w:val="0"/>
          <w:color w:val="2C3E50"/>
          <w:sz w:val="22"/>
        </w:rPr>
        <w:t>сильнее всего предсказывается автономией (β = 0.377) и связанностью (β = 0.162)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2C3E50"/>
          <w:sz w:val="22"/>
        </w:rPr>
        <w:t xml:space="preserve">Эффект новизны: </w:t>
      </w:r>
      <w:r>
        <w:rPr>
          <w:rFonts w:ascii="Calibri" w:hAnsi="Calibri"/>
          <w:b w:val="0"/>
          <w:i w:val="0"/>
          <w:color w:val="2C3E50"/>
          <w:sz w:val="22"/>
        </w:rPr>
        <w:t>чем дольше пользуются приложением, тем ниже мотивация (β = −0.168) — Hamari et al., 2014</w:t>
      </w:r>
    </w:p>
    <w:p>
      <w:pPr>
        <w:spacing w:before="200" w:after="200"/>
        <w:ind w:left="454" w:right="283"/>
        <w:pBdr>
          <w:left w:val="single" w:sz="24" w:space="8" w:color="1A5F7A"/>
        </w:pBdr>
      </w:pPr>
      <w:r>
        <w:rPr>
          <w:rFonts w:ascii="Calibri" w:hAnsi="Calibri"/>
          <w:b w:val="0"/>
          <w:i/>
          <w:color w:val="1A5F7A"/>
          <w:sz w:val="22"/>
        </w:rPr>
        <w:t>Ядро продукта — прогресс + выбор + социальная связь с тренером, а не просто «очки за шаги».</w:t>
      </w:r>
    </w:p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i w:val="0"/>
          <w:color w:val="1A5F7A"/>
          <w:sz w:val="36"/>
        </w:rPr>
        <w:t>Блок 1. Система прогресса и достижений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Фокус: компетентность и автономия — ощущение роста и контроля над процессом.</w:t>
      </w:r>
    </w:p>
    <w:p>
      <w:pPr>
        <w:spacing w:before="280" w:after="160"/>
      </w:pPr>
      <w:r>
        <w:rPr>
          <w:rFonts w:ascii="Calibri" w:hAnsi="Calibri"/>
          <w:b/>
          <w:i w:val="0"/>
          <w:color w:val="2C3E50"/>
          <w:sz w:val="24"/>
        </w:rPr>
        <w:t>1.1. Многоуровневые челленджи с нарастающей сложностью</w:t>
      </w:r>
    </w:p>
    <w:p>
      <w:pPr>
        <w:spacing w:after="4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Что реализовать: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Персональные и групповые челленджи (шаги, подходы, дистанция, силовые показатели).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Постепенное усложнение — не фиксированные цели «10 000 шагов для всех».</w:t>
      </w:r>
    </w:p>
    <w:p>
      <w:pPr>
        <w:spacing w:after="4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Научное обоснование: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Bitrián et al. (2020): «increasingly difficult tasks» — значимый achievement-элемент.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van Roy &amp; Zaman (2019): еженедельные челленджи растущей сложности → все три потребности.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Peng et al. (2012): в exergame задачи усложняются по мере роста навыка.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Bitrián et al. (2021), n=276 Fitbit: achievement → компетентность (β = 0.645); мотивация → физическое, ментальное и социальное здоровье.</w:t>
      </w:r>
    </w:p>
    <w:p>
      <w:pPr>
        <w:spacing w:after="4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Практический смысл: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Компетентность — главный драйвер внутренней мотивации и ощущения результата.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2C3E50"/>
          <w:sz w:val="22"/>
        </w:rPr>
        <w:t xml:space="preserve">Тренер: </w:t>
      </w:r>
      <w:r>
        <w:rPr>
          <w:rFonts w:ascii="Calibri" w:hAnsi="Calibri"/>
          <w:b w:val="0"/>
          <w:i w:val="0"/>
          <w:color w:val="2C3E50"/>
          <w:sz w:val="22"/>
        </w:rPr>
        <w:t>конструктор челленджей с шаблонами по уровню подготовки.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2C3E50"/>
          <w:sz w:val="22"/>
        </w:rPr>
        <w:t xml:space="preserve">Спортсмен: </w:t>
      </w:r>
      <w:r>
        <w:rPr>
          <w:rFonts w:ascii="Calibri" w:hAnsi="Calibri"/>
          <w:b w:val="0"/>
          <w:i w:val="0"/>
          <w:color w:val="2C3E50"/>
          <w:sz w:val="22"/>
        </w:rPr>
        <w:t>выбор из 2–3 вариантов челленджа на неделю.</w:t>
      </w:r>
    </w:p>
    <w:p/>
    <w:p>
      <w:pPr>
        <w:spacing w:before="280" w:after="160"/>
      </w:pPr>
      <w:r>
        <w:rPr>
          <w:rFonts w:ascii="Calibri" w:hAnsi="Calibri"/>
          <w:b/>
          <w:i w:val="0"/>
          <w:color w:val="2C3E50"/>
          <w:sz w:val="24"/>
        </w:rPr>
        <w:t>1.2. Визуализация прогресса: графики, прогресс-бары, уровни</w:t>
      </w:r>
    </w:p>
    <w:p>
      <w:pPr>
        <w:spacing w:after="4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Что реализовать: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Графики динамики (вес, сила, выносливость, объём).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Уровни прогресса: «новичок → продвинутый → эксперт».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Прогресс-бары по микро- и макро-целям.</w:t>
      </w:r>
    </w:p>
    <w:p>
      <w:pPr>
        <w:spacing w:after="4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Научное обоснование: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Hassan et al. (2019): performance graphs → компетентность.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Stancu et al. (2022), n=719: уровни прогресса — одна из наиболее предпочитаемых функций.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Szinay et al. (2023), обзор 28 исследований: self-monitoring и feedback — среди 6 BCT, связанных с вовлечённостью.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Пользователи предпочитают оценочный + информационный feedback («Отлично! +15% к прошлой неделе»), а не только цифры.</w:t>
      </w:r>
    </w:p>
    <w:p>
      <w:pPr>
        <w:spacing w:after="4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Практический смысл: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Аффективный feedback сильнее связан с продолжением использования, чем сухие метрики (Hassan et al., 2019).</w:t>
      </w:r>
    </w:p>
    <w:p/>
    <w:p>
      <w:pPr>
        <w:spacing w:before="280" w:after="160"/>
      </w:pPr>
      <w:r>
        <w:rPr>
          <w:rFonts w:ascii="Calibri" w:hAnsi="Calibri"/>
          <w:b/>
          <w:i w:val="0"/>
          <w:color w:val="2C3E50"/>
          <w:sz w:val="24"/>
        </w:rPr>
        <w:t>1.3. Бейджи и награды — с возможностью выбора</w:t>
      </w:r>
    </w:p>
    <w:p>
      <w:pPr>
        <w:spacing w:after="4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Что реализовать: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Бейджи за конкретные поведенческие вехи (5 тренировок подряд, новый PR, возврат после пропуска).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Самовыбор награды — не фиксированные «очки за всё».</w:t>
      </w:r>
    </w:p>
    <w:p>
      <w:pPr>
        <w:spacing w:after="4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Научное обоснование: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Bitrián et al. (2020): бейджи и рейтинги — сильные achievement-элементы.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Hamari (2017): бейджи увеличивают активность в полевом эксперименте.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Stancu et al. (2022): self-selected rewards — значимо предпочитаемая функция.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Quintas et al. (2020): только points/badges/leaderboards — краткосрочная мотивация.</w:t>
      </w:r>
    </w:p>
    <w:p>
      <w:pPr>
        <w:spacing w:after="4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Практический смысл: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Бейджи — подтверждение реального прогресса, привязанного к тренировочным данным, а не центр продукта.</w:t>
      </w:r>
    </w:p>
    <w:p/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i w:val="0"/>
          <w:color w:val="1A5F7A"/>
          <w:sz w:val="36"/>
        </w:rPr>
        <w:t>Блок 2. Автономия — главный предиктор долгосрочного использования</w:t>
      </w:r>
    </w:p>
    <w:p>
      <w:pPr>
        <w:spacing w:before="280" w:after="160"/>
      </w:pPr>
      <w:r>
        <w:rPr>
          <w:rFonts w:ascii="Calibri" w:hAnsi="Calibri"/>
          <w:b/>
          <w:i w:val="0"/>
          <w:color w:val="2C3E50"/>
          <w:sz w:val="24"/>
        </w:rPr>
        <w:t>2.1. Гибкий выбор внутри программы тренера</w:t>
      </w:r>
    </w:p>
    <w:p>
      <w:pPr>
        <w:spacing w:after="4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Что реализовать: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Тренер задаёт рамку (цель, период, принципы), спортсмен выбирает упражнения, время, замены.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«Заменить упражнение» / «перенести тренировку» без потери логики программы.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Самостоятельная сборка тренировки из библиотеки упражнений тренера.</w:t>
      </w:r>
    </w:p>
    <w:p>
      <w:pPr>
        <w:spacing w:after="4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Научное обоснование: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Bitrián et al. (2020): автономия → автономная мотивация (β = 0.377) — самый сильный предиктор.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Stancu et al. (2022): choice flexibility — топ-предпочтение среди 6 функций.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Peng et al. (2012): выбор задач в exergame → автономия и удовольствие.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Ng et al. (2012): поддержка автономии → устойчивое изменение поведения.</w:t>
      </w:r>
    </w:p>
    <w:p>
      <w:pPr>
        <w:spacing w:after="4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Практический смысл: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Программа подстраивается под жизнь, а не наоборот — сильный аргумент для premium-подписки.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2C3E50"/>
          <w:sz w:val="22"/>
        </w:rPr>
        <w:t xml:space="preserve">Тренер: </w:t>
      </w:r>
      <w:r>
        <w:rPr>
          <w:rFonts w:ascii="Calibri" w:hAnsi="Calibri"/>
          <w:b w:val="0"/>
          <w:i w:val="0"/>
          <w:color w:val="2C3E50"/>
          <w:sz w:val="22"/>
        </w:rPr>
        <w:t>autonomy-supportive coach — объясняет «зачем», а не только «делай» (Edmunds et al., 2007).</w:t>
      </w:r>
    </w:p>
    <w:p/>
    <w:p>
      <w:pPr>
        <w:spacing w:before="280" w:after="160"/>
      </w:pPr>
      <w:r>
        <w:rPr>
          <w:rFonts w:ascii="Calibri" w:hAnsi="Calibri"/>
          <w:b/>
          <w:i w:val="0"/>
          <w:color w:val="2C3E50"/>
          <w:sz w:val="24"/>
        </w:rPr>
        <w:t>2.2. Персонализация и иммерсия</w:t>
      </w:r>
    </w:p>
    <w:p>
      <w:pPr>
        <w:spacing w:after="4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Что реализовать: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Профиль спортсмена с визуальным отражением прогресса.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Настройка интерфейса, единиц измерения, приоритетных метрик.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Опциональный аватар / визуальная идентичность.</w:t>
      </w:r>
    </w:p>
    <w:p>
      <w:pPr>
        <w:spacing w:after="4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Научное обоснование: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Bitrián et al. (2020): immersion → компетентность (β = 0.344) и автономия (β = 0.314).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Kim et al. (2015): кастомизация → автономия и enjoyment.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Bitrián et al. (2021): слабая кастомизация в Fitbit не давала эффекта — персонализация должна быть глубокой.</w:t>
      </w:r>
    </w:p>
    <w:p/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i w:val="0"/>
          <w:color w:val="1A5F7A"/>
          <w:sz w:val="36"/>
        </w:rPr>
        <w:t>Блок 3. Социальность и связь тренер — спортсмен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Самый сильный рычаг в модели Bitrián et al. (2020): social-related → relatedness, β = 0.721.</w:t>
      </w:r>
    </w:p>
    <w:p>
      <w:pPr>
        <w:spacing w:before="280" w:after="160"/>
      </w:pPr>
      <w:r>
        <w:rPr>
          <w:rFonts w:ascii="Calibri" w:hAnsi="Calibri"/>
          <w:b/>
          <w:i w:val="0"/>
          <w:color w:val="2C3E50"/>
          <w:sz w:val="24"/>
        </w:rPr>
        <w:t>3.1. Тренер как «живой центр» связанности</w:t>
      </w:r>
    </w:p>
    <w:p>
      <w:pPr>
        <w:spacing w:after="4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Что реализовать: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Коммуникация в контексте тренировки (комментарий к подходу, голосовая заметка, реакция на выполнение).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Персонализированные сообщения от тренера.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Тренер видит прогресс и отмечает усилия, не только результат.</w:t>
      </w:r>
    </w:p>
    <w:p>
      <w:pPr>
        <w:spacing w:after="4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Научное обоснование: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Bitrián et al. (2020): relatedness → автономная мотивация (β = 0.162).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Chen &amp; Pu (2014), HealthyTogether: социальные стимулы → +15% активности; кооперация (+21%) &gt; конкуренция (+8%).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Персонализированный SMS-коучинг (JMIR, 2023): значимые улучшения мотивации по COM-B.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Важно: социальное давление снижает автономию (Bitrián et al., 2021, β = −0.470) — нужен доверенный круг, не агрессивные лидерборды.</w:t>
      </w:r>
    </w:p>
    <w:p/>
    <w:p>
      <w:pPr>
        <w:spacing w:before="280" w:after="160"/>
      </w:pPr>
      <w:r>
        <w:rPr>
          <w:rFonts w:ascii="Calibri" w:hAnsi="Calibri"/>
          <w:b/>
          <w:i w:val="0"/>
          <w:color w:val="2C3E50"/>
          <w:sz w:val="24"/>
        </w:rPr>
        <w:t>3.2. Кооперативные, а не только соревновательные механики</w:t>
      </w:r>
    </w:p>
    <w:p>
      <w:pPr>
        <w:spacing w:after="4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Что реализовать: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Командные челленджи («клиенты тренера X вместе набрали 100 000 шагов»).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Парные / групповые цели тренер + спортсмен.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Поддержка вместо «таунтинга».</w:t>
      </w:r>
    </w:p>
    <w:p>
      <w:pPr>
        <w:spacing w:after="4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Научное обоснование: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Sailer et al. (2017): кооперация → relatedness.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Meta-analysis: competition + collaboration — наиболее устойчивый эффект на мотивацию.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Chen &amp; Pu (2014): больше сообщений в cooperation → больше активности.</w:t>
      </w:r>
    </w:p>
    <w:p>
      <w:pPr>
        <w:spacing w:after="4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Практический смысл: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Для B2B: кооперация между клиентами одного тренера → community → снижение оттока.</w:t>
      </w:r>
    </w:p>
    <w:p/>
    <w:p>
      <w:pPr>
        <w:spacing w:before="280" w:after="160"/>
      </w:pPr>
      <w:r>
        <w:rPr>
          <w:rFonts w:ascii="Calibri" w:hAnsi="Calibri"/>
          <w:b/>
          <w:i w:val="0"/>
          <w:color w:val="2C3E50"/>
          <w:sz w:val="24"/>
        </w:rPr>
        <w:t>3.3. Социальная лента с контролем приватности</w:t>
      </w:r>
    </w:p>
    <w:p>
      <w:pPr>
        <w:spacing w:after="4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Что реализовать: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Лента достижений с выбором аудитории (только тренер / команда / все).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Реакции и комментарии тренера.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Шеринг во внешние сети — опционально.</w:t>
      </w:r>
    </w:p>
    <w:p>
      <w:pPr>
        <w:spacing w:after="4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Научное обоснование: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Bitrián et al. (2020): rankings и sharing → relatedness.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Hassan et al. (2019): social feedback сам по себе не предсказывает continued use — важно эмоциональное признание.</w:t>
      </w:r>
    </w:p>
    <w:p/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i w:val="0"/>
          <w:color w:val="1A5F7A"/>
          <w:sz w:val="36"/>
        </w:rPr>
        <w:t>Блок 4. Поведенческие техники (BCT)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Систематический обзор Szinay et al. (2023), 28 исследований, выделяет 6 BCT, наиболее связанных с вовлечённостью в mHealth-приложениях: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fill="1A5F7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BCT</w:t>
            </w:r>
          </w:p>
        </w:tc>
        <w:tc>
          <w:tcPr>
            <w:tcW w:type="dxa" w:w="6236"/>
            <w:shd w:fill="1A5F7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Как воплотить в приложении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Goal setting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SMART-цели с тренером + микро-цели на неделю</w:t>
            </w:r>
          </w:p>
        </w:tc>
      </w:tr>
      <w:tr>
        <w:tc>
          <w:tcPr>
            <w:tcW w:type="dxa" w:w="2268"/>
            <w:shd w:fill="F0F7FA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Self-monitoring</w:t>
            </w:r>
          </w:p>
        </w:tc>
        <w:tc>
          <w:tcPr>
            <w:tcW w:type="dxa" w:w="6236"/>
            <w:shd w:fill="F0F7FA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Логирование веса, подходов, RPE, сна, питания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Feedback on behavior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Мгновенная обратная связь после тренировки</w:t>
            </w:r>
          </w:p>
        </w:tc>
      </w:tr>
      <w:tr>
        <w:tc>
          <w:tcPr>
            <w:tcW w:type="dxa" w:w="2268"/>
            <w:shd w:fill="F0F7FA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Prompts / cues</w:t>
            </w:r>
          </w:p>
        </w:tc>
        <w:tc>
          <w:tcPr>
            <w:tcW w:type="dxa" w:w="6236"/>
            <w:shd w:fill="F0F7FA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Умные напоминания (не спам)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Rewards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Бейджи, milestone-награды</w:t>
            </w:r>
          </w:p>
        </w:tc>
      </w:tr>
      <w:tr>
        <w:tc>
          <w:tcPr>
            <w:tcW w:type="dxa" w:w="2268"/>
            <w:shd w:fill="F0F7FA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Social support</w:t>
            </w:r>
          </w:p>
        </w:tc>
        <w:tc>
          <w:tcPr>
            <w:tcW w:type="dxa" w:w="6236"/>
            <w:shd w:fill="F0F7FA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Тренер + peer group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Edwards et al. (2016), BMJ Open: эффективность зависит от конкретных BCT, а не от «геймификации вообще». Johnson et al. (2016) подчёркивают необходимость теоретической основы — SDT как раз она.</w:t>
      </w:r>
    </w:p>
    <w:p>
      <w:pPr>
        <w:spacing w:before="360" w:after="160"/>
      </w:pPr>
      <w:r>
        <w:rPr>
          <w:rFonts w:ascii="Calibri" w:hAnsi="Calibri"/>
          <w:b/>
          <w:i w:val="0"/>
          <w:color w:val="1A5F7A"/>
          <w:sz w:val="36"/>
        </w:rPr>
        <w:t>Блок 5. Специфика «тренер + спортсмен»</w:t>
      </w:r>
    </w:p>
    <w:p>
      <w:pPr>
        <w:spacing w:before="280" w:after="160"/>
      </w:pPr>
      <w:r>
        <w:rPr>
          <w:rFonts w:ascii="Calibri" w:hAnsi="Calibri"/>
          <w:b/>
          <w:i w:val="0"/>
          <w:color w:val="2C3E50"/>
          <w:sz w:val="24"/>
        </w:rPr>
        <w:t>5.1. Autonomy-supportive coaching через цифровой канал</w:t>
      </w:r>
    </w:p>
    <w:p>
      <w:pPr>
        <w:spacing w:after="4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Что реализовать: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Тренер объясняет «зачем» упражнение.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Спортсмен может задать вопрос / предложить замену.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Тренер реагирует на обратную связь (боль, усталость, пропуск).</w:t>
      </w:r>
    </w:p>
    <w:p>
      <w:pPr>
        <w:spacing w:after="4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Научное обоснование: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В спорте autonomy-supportive стиль → выше удовлетворение потребностей, ниже выгорание (Ng et al., 2012; Edmunds et al., 2007).</w:t>
      </w:r>
    </w:p>
    <w:p>
      <w:pPr>
        <w:spacing w:after="4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Практический смысл: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Цифровой канал должен усиливать стиль тренера, а не заменять его.</w:t>
      </w:r>
    </w:p>
    <w:p/>
    <w:p>
      <w:pPr>
        <w:spacing w:before="280" w:after="160"/>
      </w:pPr>
      <w:r>
        <w:rPr>
          <w:rFonts w:ascii="Calibri" w:hAnsi="Calibri"/>
          <w:b/>
          <w:i w:val="0"/>
          <w:color w:val="2C3E50"/>
          <w:sz w:val="24"/>
        </w:rPr>
        <w:t>5.2. Персонализированный коучинг внутри приложения</w:t>
      </w:r>
    </w:p>
    <w:p>
      <w:pPr>
        <w:spacing w:after="4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Что реализовать: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Шаблоны сообщений тренера + подсказки «что написать».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Персонализированные поздравления / поддержка при milestone.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Видео-разбор техники с комментарием тренера.</w:t>
      </w:r>
    </w:p>
    <w:p>
      <w:pPr>
        <w:spacing w:after="4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Научное обоснование: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JMIR (2022): коучинг на основе motivational interviewing → больше engagement и лучшие исходы.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Hassan et al. (2019): аффективный feedback → continued use.</w:t>
      </w:r>
    </w:p>
    <w:p/>
    <w:p>
      <w:pPr>
        <w:spacing w:before="280" w:after="160"/>
      </w:pPr>
      <w:r>
        <w:rPr>
          <w:rFonts w:ascii="Calibri" w:hAnsi="Calibri"/>
          <w:b/>
          <w:i w:val="0"/>
          <w:color w:val="2C3E50"/>
          <w:sz w:val="24"/>
        </w:rPr>
        <w:t>5.3. Dashboard для тренера с сигналами риска оттока</w:t>
      </w:r>
    </w:p>
    <w:p>
      <w:pPr>
        <w:spacing w:after="4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Что реализовать: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Алерты: «клиент не тренировался 5 дней», «RPE растёт при падающем объёме».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Приоритизация: кому написать сегодня.</w:t>
      </w:r>
    </w:p>
    <w:p>
      <w:pPr>
        <w:spacing w:after="4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Научное обоснование: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Attig &amp; Franke (2020): основная причина отказа от фитнес-приложений — потеря мотивации.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Раннее вмешательство тренера = social support + prompts/cues (Szinay et al., 2023).</w:t>
      </w:r>
    </w:p>
    <w:p/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i w:val="0"/>
          <w:color w:val="1A5F7A"/>
          <w:sz w:val="36"/>
        </w:rPr>
        <w:t>Блок 6. Чего избегать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fill="1A5F7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Антипаттерн</w:t>
            </w:r>
          </w:p>
        </w:tc>
        <w:tc>
          <w:tcPr>
            <w:tcW w:type="dxa" w:w="5669"/>
            <w:shd w:fill="1A5F7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Почему (научное обоснование)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Только лидерборды и соревнование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Chen &amp; Pu (2014): competition alone — слабейший эффект; Bitrián (2021): social → снижение автономии</w:t>
            </w:r>
          </w:p>
        </w:tc>
      </w:tr>
      <w:tr>
        <w:tc>
          <w:tcPr>
            <w:tcW w:type="dxa" w:w="2835"/>
            <w:shd w:fill="F0F7FA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Статичная геймификация</w:t>
            </w:r>
          </w:p>
        </w:tc>
        <w:tc>
          <w:tcPr>
            <w:tcW w:type="dxa" w:w="5669"/>
            <w:shd w:fill="F0F7FA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Hamari et al. (2014): novelty effect — мотивация падает со временем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Фиксированные награды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Stancu et al. (2022): self-selected rewards предпочитаемее</w:t>
            </w:r>
          </w:p>
        </w:tc>
      </w:tr>
      <w:tr>
        <w:tc>
          <w:tcPr>
            <w:tcW w:type="dxa" w:w="2835"/>
            <w:shd w:fill="F0F7FA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Сухие цифры без эмоции</w:t>
            </w:r>
          </w:p>
        </w:tc>
        <w:tc>
          <w:tcPr>
            <w:tcW w:type="dxa" w:w="5669"/>
            <w:shd w:fill="F0F7FA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Hassan et al. (2019): informational &lt; affective feedback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Принудительная социальность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Bitrián (2021): social affordances воспринимаются как контроль</w:t>
            </w:r>
          </w:p>
        </w:tc>
      </w:tr>
      <w:tr>
        <w:tc>
          <w:tcPr>
            <w:tcW w:type="dxa" w:w="2835"/>
            <w:shd w:fill="F0F7FA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Один размер для всех</w:t>
            </w:r>
          </w:p>
        </w:tc>
        <w:tc>
          <w:tcPr>
            <w:tcW w:type="dxa" w:w="5669"/>
            <w:shd w:fill="F0F7FA" w:val="clear"/>
          </w:tcPr>
          <w:p>
            <w:r/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Ng et al. (2012): персонализация через SDT → устойчивость</w:t>
            </w:r>
          </w:p>
        </w:tc>
      </w:tr>
    </w:tbl>
    <w:p/>
    <w:p>
      <w:pPr>
        <w:spacing w:before="360" w:after="160"/>
      </w:pPr>
      <w:r>
        <w:rPr>
          <w:rFonts w:ascii="Calibri" w:hAnsi="Calibri"/>
          <w:b/>
          <w:i w:val="0"/>
          <w:color w:val="1A5F7A"/>
          <w:sz w:val="36"/>
        </w:rPr>
        <w:t>Блок 7. Как это конвертируется в продажи</w:t>
      </w:r>
    </w:p>
    <w:p>
      <w:pPr>
        <w:spacing w:before="280" w:after="160"/>
      </w:pPr>
      <w:r>
        <w:rPr>
          <w:rFonts w:ascii="Calibri" w:hAnsi="Calibri"/>
          <w:b/>
          <w:i w:val="0"/>
          <w:color w:val="2E86AB"/>
          <w:sz w:val="28"/>
        </w:rPr>
        <w:t>7.1. Freemium с «крючком» компетентности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Бесплатно: трекинг + 1 челлендж + базовый прогресс.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Premium: тренер, персональные программы, кооперативные челленджи, глубокая аналитика.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Обоснование: Jang et al. (2018) — gamified benefits → engagement → purchase; Eisingerich et al. (2019) — gamification → customer engagement → покупки.</w:t>
      </w:r>
    </w:p>
    <w:p>
      <w:pPr>
        <w:spacing w:before="280" w:after="160"/>
      </w:pPr>
      <w:r>
        <w:rPr>
          <w:rFonts w:ascii="Calibri" w:hAnsi="Calibri"/>
          <w:b/>
          <w:i w:val="0"/>
          <w:color w:val="2E86AB"/>
          <w:sz w:val="28"/>
        </w:rPr>
        <w:t>7.2. B2B для тренеров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Продавать тренеру не «ещё одно приложение», а снижение оттока клиентов через связанность, автономию и видимый прогресс. Bitrián et al. (2021): мотивация → физическое, ментальное и социальное здоровье — тренер продаёт комплексный результат.</w:t>
      </w:r>
    </w:p>
    <w:p>
      <w:pPr>
        <w:spacing w:before="280" w:after="160"/>
      </w:pPr>
      <w:r>
        <w:rPr>
          <w:rFonts w:ascii="Calibri" w:hAnsi="Calibri"/>
          <w:b/>
          <w:i w:val="0"/>
          <w:color w:val="2E86AB"/>
          <w:sz w:val="28"/>
        </w:rPr>
        <w:t>7.3. Социальное доказательство внутри продукта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Кооперативные челленджи и истории прогресса (с согласия).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«Клиенты тренера X достигли Y» — Chen &amp; Pu (2014), Hamari &amp; Koivisto (2015).</w:t>
      </w:r>
    </w:p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i w:val="0"/>
          <w:color w:val="1A5F7A"/>
          <w:sz w:val="36"/>
        </w:rPr>
        <w:t>Приоритетный roadmap</w:t>
      </w:r>
    </w:p>
    <w:p>
      <w:pPr>
        <w:spacing w:before="280" w:after="160"/>
      </w:pPr>
      <w:r>
        <w:rPr>
          <w:rFonts w:ascii="Calibri" w:hAnsi="Calibri"/>
          <w:b/>
          <w:i w:val="0"/>
          <w:color w:val="2E86AB"/>
          <w:sz w:val="28"/>
        </w:rPr>
        <w:t>MVP — доказанный минимум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Прогресс-бары + графики + челленджи с нарастающей сложностью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Гибкий выбор / замена в программе тренера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Контекстная связь тренер ↔ спортсмен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Оценочный + информационный feedback</w:t>
      </w:r>
    </w:p>
    <w:p>
      <w:pPr>
        <w:spacing w:before="280" w:after="160"/>
      </w:pPr>
      <w:r>
        <w:rPr>
          <w:rFonts w:ascii="Calibri" w:hAnsi="Calibri"/>
          <w:b/>
          <w:i w:val="0"/>
          <w:color w:val="2E86AB"/>
          <w:sz w:val="28"/>
        </w:rPr>
        <w:t>v1.5 — удержание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Кооперативные (не только соревновательные) механики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Ротация челленджей и сезонных событий (против novelty effect)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Self-selected rewards</w:t>
      </w:r>
    </w:p>
    <w:p>
      <w:pPr>
        <w:spacing w:before="280" w:after="160"/>
      </w:pPr>
      <w:r>
        <w:rPr>
          <w:rFonts w:ascii="Calibri" w:hAnsi="Calibri"/>
          <w:b/>
          <w:i w:val="0"/>
          <w:color w:val="2E86AB"/>
          <w:sz w:val="28"/>
        </w:rPr>
        <w:t>v2 — монетизация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B2B dashboard для тренеров с алертами оттока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Командные челленджи внутри «студии» тренера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C3E50"/>
          <w:sz w:val="22"/>
        </w:rPr>
        <w:t>Premium-аналитика прогресса</w:t>
      </w:r>
    </w:p>
    <w:p>
      <w:pPr>
        <w:spacing w:before="200" w:after="200"/>
        <w:ind w:left="454" w:right="283"/>
        <w:pBdr>
          <w:left w:val="single" w:sz="24" w:space="8" w:color="1A5F7A"/>
        </w:pBdr>
      </w:pPr>
      <w:r>
        <w:rPr>
          <w:rFonts w:ascii="Calibri" w:hAnsi="Calibri"/>
          <w:b w:val="0"/>
          <w:i/>
          <w:color w:val="1A5F7A"/>
          <w:sz w:val="22"/>
        </w:rPr>
        <w:t>Тренер задаёт направление → спортсмен выбирает путь → приложение показывает прогресс → сообщество и тренер признают усилия → мотивация становится внутренней, а не принудительной.</w:t>
      </w:r>
    </w:p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i w:val="0"/>
          <w:color w:val="1A5F7A"/>
          <w:sz w:val="36"/>
        </w:rPr>
        <w:t>Ключевые научные источники</w:t>
      </w:r>
    </w:p>
    <w:p>
      <w:pPr>
        <w:spacing w:after="80"/>
      </w:pPr>
      <w:r>
        <w:rPr>
          <w:rFonts w:ascii="Calibri" w:hAnsi="Calibri"/>
          <w:b/>
          <w:i w:val="0"/>
          <w:color w:val="2C3E50"/>
          <w:sz w:val="20"/>
        </w:rPr>
        <w:t xml:space="preserve">1. </w:t>
      </w:r>
      <w:r>
        <w:rPr>
          <w:rFonts w:ascii="Calibri" w:hAnsi="Calibri"/>
          <w:b w:val="0"/>
          <w:i w:val="0"/>
          <w:color w:val="5D6D7E"/>
          <w:sz w:val="20"/>
        </w:rPr>
        <w:t>Bitrián, Buil &amp; Catalán (2020). Gamification in sport apps: the determinants of users' motivation. EJMBE, 29(3), 365–381. DOI: 10.1108/EJMBE-09-2019-0163</w:t>
      </w:r>
    </w:p>
    <w:p>
      <w:pPr>
        <w:spacing w:after="80"/>
      </w:pPr>
      <w:r>
        <w:rPr>
          <w:rFonts w:ascii="Calibri" w:hAnsi="Calibri"/>
          <w:b/>
          <w:i w:val="0"/>
          <w:color w:val="2C3E50"/>
          <w:sz w:val="20"/>
        </w:rPr>
        <w:t xml:space="preserve">2. </w:t>
      </w:r>
      <w:r>
        <w:rPr>
          <w:rFonts w:ascii="Calibri" w:hAnsi="Calibri"/>
          <w:b w:val="0"/>
          <w:i w:val="0"/>
          <w:color w:val="5D6D7E"/>
          <w:sz w:val="20"/>
        </w:rPr>
        <w:t>Bitrián, Buil &amp; Catalán (2021). The motivational power of mobile gamified exercise apps. Cuadernos de Gestión, 21(2). DOI: 10.5295/cdg.211629pb</w:t>
      </w:r>
    </w:p>
    <w:p>
      <w:pPr>
        <w:spacing w:after="80"/>
      </w:pPr>
      <w:r>
        <w:rPr>
          <w:rFonts w:ascii="Calibri" w:hAnsi="Calibri"/>
          <w:b/>
          <w:i w:val="0"/>
          <w:color w:val="2C3E50"/>
          <w:sz w:val="20"/>
        </w:rPr>
        <w:t xml:space="preserve">3. </w:t>
      </w:r>
      <w:r>
        <w:rPr>
          <w:rFonts w:ascii="Calibri" w:hAnsi="Calibri"/>
          <w:b w:val="0"/>
          <w:i w:val="0"/>
          <w:color w:val="5D6D7E"/>
          <w:sz w:val="20"/>
        </w:rPr>
        <w:t>Xi, N. &amp; Hamari, J. (2019). Does gamification satisfy needs? International Journal of Information Management, 46, 210–221.</w:t>
      </w:r>
    </w:p>
    <w:p>
      <w:pPr>
        <w:spacing w:after="80"/>
      </w:pPr>
      <w:r>
        <w:rPr>
          <w:rFonts w:ascii="Calibri" w:hAnsi="Calibri"/>
          <w:b/>
          <w:i w:val="0"/>
          <w:color w:val="2C3E50"/>
          <w:sz w:val="20"/>
        </w:rPr>
        <w:t xml:space="preserve">4. </w:t>
      </w:r>
      <w:r>
        <w:rPr>
          <w:rFonts w:ascii="Calibri" w:hAnsi="Calibri"/>
          <w:b w:val="0"/>
          <w:i w:val="0"/>
          <w:color w:val="5D6D7E"/>
          <w:sz w:val="20"/>
        </w:rPr>
        <w:t>Stancu, V. et al. (2022). Motivating consumers for health and fitness: The role of app features. Journal of Consumer Behaviour. DOI: 10.1002/cb.2108</w:t>
      </w:r>
    </w:p>
    <w:p>
      <w:pPr>
        <w:spacing w:after="80"/>
      </w:pPr>
      <w:r>
        <w:rPr>
          <w:rFonts w:ascii="Calibri" w:hAnsi="Calibri"/>
          <w:b/>
          <w:i w:val="0"/>
          <w:color w:val="2C3E50"/>
          <w:sz w:val="20"/>
        </w:rPr>
        <w:t xml:space="preserve">5. </w:t>
      </w:r>
      <w:r>
        <w:rPr>
          <w:rFonts w:ascii="Calibri" w:hAnsi="Calibri"/>
          <w:b w:val="0"/>
          <w:i w:val="0"/>
          <w:color w:val="5D6D7E"/>
          <w:sz w:val="20"/>
        </w:rPr>
        <w:t>Hassan, L., Dias, A. &amp; Hamari, J. (2019). How motivational feedback increases user's benefits and continued use. IJIM, 46, 151–162.</w:t>
      </w:r>
    </w:p>
    <w:p>
      <w:pPr>
        <w:spacing w:after="80"/>
      </w:pPr>
      <w:r>
        <w:rPr>
          <w:rFonts w:ascii="Calibri" w:hAnsi="Calibri"/>
          <w:b/>
          <w:i w:val="0"/>
          <w:color w:val="2C3E50"/>
          <w:sz w:val="20"/>
        </w:rPr>
        <w:t xml:space="preserve">6. </w:t>
      </w:r>
      <w:r>
        <w:rPr>
          <w:rFonts w:ascii="Calibri" w:hAnsi="Calibri"/>
          <w:b w:val="0"/>
          <w:i w:val="0"/>
          <w:color w:val="5D6D7E"/>
          <w:sz w:val="20"/>
        </w:rPr>
        <w:t>Chen, Y. &amp; Pu, P. (2014). HealthyTogether: Exploring social incentives for mobile fitness applications. Chinese CHI'14.</w:t>
      </w:r>
    </w:p>
    <w:p>
      <w:pPr>
        <w:spacing w:after="80"/>
      </w:pPr>
      <w:r>
        <w:rPr>
          <w:rFonts w:ascii="Calibri" w:hAnsi="Calibri"/>
          <w:b/>
          <w:i w:val="0"/>
          <w:color w:val="2C3E50"/>
          <w:sz w:val="20"/>
        </w:rPr>
        <w:t xml:space="preserve">7. </w:t>
      </w:r>
      <w:r>
        <w:rPr>
          <w:rFonts w:ascii="Calibri" w:hAnsi="Calibri"/>
          <w:b w:val="0"/>
          <w:i w:val="0"/>
          <w:color w:val="5D6D7E"/>
          <w:sz w:val="20"/>
        </w:rPr>
        <w:t>Ng, J. et al. (2012). Self-determination theory applied to health contexts: A meta-analysis. Perspectives on Psychological Science, 7(4), 325–340.</w:t>
      </w:r>
    </w:p>
    <w:p>
      <w:pPr>
        <w:spacing w:after="80"/>
      </w:pPr>
      <w:r>
        <w:rPr>
          <w:rFonts w:ascii="Calibri" w:hAnsi="Calibri"/>
          <w:b/>
          <w:i w:val="0"/>
          <w:color w:val="2C3E50"/>
          <w:sz w:val="20"/>
        </w:rPr>
        <w:t xml:space="preserve">8. </w:t>
      </w:r>
      <w:r>
        <w:rPr>
          <w:rFonts w:ascii="Calibri" w:hAnsi="Calibri"/>
          <w:b w:val="0"/>
          <w:i w:val="0"/>
          <w:color w:val="5D6D7E"/>
          <w:sz w:val="20"/>
        </w:rPr>
        <w:t>Szinay, D. et al. (2023). Potential associations between BCTs and engagement with mobile health apps. Frontiers in Psychology.</w:t>
      </w:r>
    </w:p>
    <w:p>
      <w:pPr>
        <w:spacing w:after="80"/>
      </w:pPr>
      <w:r>
        <w:rPr>
          <w:rFonts w:ascii="Calibri" w:hAnsi="Calibri"/>
          <w:b/>
          <w:i w:val="0"/>
          <w:color w:val="2C3E50"/>
          <w:sz w:val="20"/>
        </w:rPr>
        <w:t xml:space="preserve">9. </w:t>
      </w:r>
      <w:r>
        <w:rPr>
          <w:rFonts w:ascii="Calibri" w:hAnsi="Calibri"/>
          <w:b w:val="0"/>
          <w:i w:val="0"/>
          <w:color w:val="5D6D7E"/>
          <w:sz w:val="20"/>
        </w:rPr>
        <w:t>Sailer, M. et al. (2017). How gamification motivates: An experimental study. Computers in Human Behavior, 69, 371–380.</w:t>
      </w:r>
    </w:p>
    <w:p>
      <w:pPr>
        <w:spacing w:after="80"/>
      </w:pPr>
      <w:r>
        <w:rPr>
          <w:rFonts w:ascii="Calibri" w:hAnsi="Calibri"/>
          <w:b/>
          <w:i w:val="0"/>
          <w:color w:val="2C3E50"/>
          <w:sz w:val="20"/>
        </w:rPr>
        <w:t xml:space="preserve">10. </w:t>
      </w:r>
      <w:r>
        <w:rPr>
          <w:rFonts w:ascii="Calibri" w:hAnsi="Calibri"/>
          <w:b w:val="0"/>
          <w:i w:val="0"/>
          <w:color w:val="5D6D7E"/>
          <w:sz w:val="20"/>
        </w:rPr>
        <w:t>Peng, W. et al. (2012). Need satisfaction supportive game features as motivational determinants. Media Psychology, 15, 175–196.</w:t>
      </w:r>
    </w:p>
    <w:p>
      <w:pPr>
        <w:spacing w:after="80"/>
      </w:pPr>
      <w:r>
        <w:rPr>
          <w:rFonts w:ascii="Calibri" w:hAnsi="Calibri"/>
          <w:b/>
          <w:i w:val="0"/>
          <w:color w:val="2C3E50"/>
          <w:sz w:val="20"/>
        </w:rPr>
        <w:t xml:space="preserve">11. </w:t>
      </w:r>
      <w:r>
        <w:rPr>
          <w:rFonts w:ascii="Calibri" w:hAnsi="Calibri"/>
          <w:b w:val="0"/>
          <w:i w:val="0"/>
          <w:color w:val="5D6D7E"/>
          <w:sz w:val="20"/>
        </w:rPr>
        <w:t>Edwards, E.A. et al. (2016). Gamification for health promotion: systematic review. BMJ Open, 6(10), e012447.</w:t>
      </w:r>
    </w:p>
    <w:p>
      <w:pPr>
        <w:spacing w:after="80"/>
      </w:pPr>
      <w:r>
        <w:rPr>
          <w:rFonts w:ascii="Calibri" w:hAnsi="Calibri"/>
          <w:b/>
          <w:i w:val="0"/>
          <w:color w:val="2C3E50"/>
          <w:sz w:val="20"/>
        </w:rPr>
        <w:t xml:space="preserve">12. </w:t>
      </w:r>
      <w:r>
        <w:rPr>
          <w:rFonts w:ascii="Calibri" w:hAnsi="Calibri"/>
          <w:b w:val="0"/>
          <w:i w:val="0"/>
          <w:color w:val="5D6D7E"/>
          <w:sz w:val="20"/>
        </w:rPr>
        <w:t>Johnson, D. et al. (2016). Gamification for health and wellbeing: A systematic review. Internet Interventions, 6, 89–106.</w:t>
      </w:r>
    </w:p>
    <w:p>
      <w:pPr>
        <w:spacing w:after="80"/>
      </w:pPr>
      <w:r>
        <w:rPr>
          <w:rFonts w:ascii="Calibri" w:hAnsi="Calibri"/>
          <w:b/>
          <w:i w:val="0"/>
          <w:color w:val="2C3E50"/>
          <w:sz w:val="20"/>
        </w:rPr>
        <w:t xml:space="preserve">13. </w:t>
      </w:r>
      <w:r>
        <w:rPr>
          <w:rFonts w:ascii="Calibri" w:hAnsi="Calibri"/>
          <w:b w:val="0"/>
          <w:i w:val="0"/>
          <w:color w:val="5D6D7E"/>
          <w:sz w:val="20"/>
        </w:rPr>
        <w:t>Ryan, R.M. &amp; Deci, E.L. (2000). Self-determination theory and the facilitation of intrinsic motivation. American Psychologist, 55, 68–78.</w:t>
      </w:r>
    </w:p>
    <w:p/>
    <w:p>
      <w:pPr>
        <w:jc w:val="center"/>
      </w:pPr>
      <w:r>
        <w:rPr>
          <w:rFonts w:ascii="Calibri" w:hAnsi="Calibri"/>
          <w:b w:val="0"/>
          <w:i/>
          <w:color w:val="5D6D7E"/>
          <w:sz w:val="20"/>
        </w:rPr>
        <w:t>— Конец документа —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