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/>
      </w:pPr>
      <w:r>
        <w:rPr/>
        <w:t>Тест по материалам курса</w:t>
      </w:r>
    </w:p>
    <w:p>
      <w:pPr>
        <w:pStyle w:val="TextBody"/>
        <w:bidi w:val="0"/>
        <w:spacing w:lineRule="auto" w:line="276" w:before="0" w:after="140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0"/>
        <w:gridCol w:w="4418"/>
        <w:gridCol w:w="4710"/>
      </w:tblGrid>
      <w:tr>
        <w:trPr>
          <w:tblHeader w:val="true"/>
        </w:trPr>
        <w:tc>
          <w:tcPr>
            <w:tcW w:w="510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№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Вопрос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Варианты ответа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Проблема синхронизации потоков не может быть решена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Приостановкой и активизацией потоков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Организацией очередей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bidi w:val="0"/>
              <w:jc w:val="left"/>
              <w:rPr/>
            </w:pPr>
            <w:r>
              <w:rPr/>
              <w:t>Блокированием и высвобождением ресурсов</w:t>
            </w:r>
          </w:p>
          <w:p>
            <w:pPr>
              <w:pStyle w:val="TableContents"/>
              <w:widowControl w:val="false"/>
              <w:numPr>
                <w:ilvl w:val="0"/>
                <w:numId w:val="2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Отказом от многопоточности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Взаимоисключение (mutual exclusion) - это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>
                <w:u w:val="single"/>
              </w:rPr>
            </w:pPr>
            <w:r>
              <w:rPr>
                <w:u w:val="none"/>
              </w:rPr>
              <w:t>Алгоритм решения СЛАУ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Обеспечение потоку эксклюзивного доступа к разделенным данным</w:t>
            </w:r>
          </w:p>
          <w:p>
            <w:pPr>
              <w:pStyle w:val="TableContents"/>
              <w:widowControl w:val="false"/>
              <w:numPr>
                <w:ilvl w:val="0"/>
                <w:numId w:val="3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Механизм переключения процессов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 xml:space="preserve">Секция программы, способная вызвать состояние гонки 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4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Critical section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Risk section</w:t>
            </w:r>
          </w:p>
          <w:p>
            <w:pPr>
              <w:pStyle w:val="TableContents"/>
              <w:widowControl w:val="false"/>
              <w:numPr>
                <w:ilvl w:val="0"/>
                <w:numId w:val="4"/>
              </w:numPr>
              <w:bidi w:val="0"/>
              <w:jc w:val="left"/>
              <w:rPr/>
            </w:pPr>
            <w:r>
              <w:rPr/>
              <w:t>Entry section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Примитив, используемый для «Уведомления» потоков о состоянии других потоков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Событие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Мьютекс</w:t>
            </w:r>
          </w:p>
          <w:p>
            <w:pPr>
              <w:pStyle w:val="TableContents"/>
              <w:widowControl w:val="false"/>
              <w:numPr>
                <w:ilvl w:val="0"/>
                <w:numId w:val="5"/>
              </w:numPr>
              <w:bidi w:val="0"/>
              <w:jc w:val="left"/>
              <w:rPr/>
            </w:pPr>
            <w:r>
              <w:rPr/>
              <w:t>Семафор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Адресное пространство 32-разрядной Windows имеет размер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2"/>
              </w:numPr>
              <w:bidi w:val="0"/>
              <w:jc w:val="left"/>
              <w:rPr/>
            </w:pPr>
            <w:r>
              <w:rPr/>
              <w:t>64 гб</w:t>
            </w:r>
          </w:p>
          <w:p>
            <w:pPr>
              <w:pStyle w:val="TableContents"/>
              <w:widowControl w:val="false"/>
              <w:numPr>
                <w:ilvl w:val="0"/>
                <w:numId w:val="12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4 гб</w:t>
            </w:r>
          </w:p>
          <w:p>
            <w:pPr>
              <w:pStyle w:val="TableContents"/>
              <w:widowControl w:val="false"/>
              <w:numPr>
                <w:ilvl w:val="0"/>
                <w:numId w:val="12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16 мб</w:t>
            </w:r>
          </w:p>
          <w:p>
            <w:pPr>
              <w:pStyle w:val="TableContents"/>
              <w:widowControl w:val="false"/>
              <w:numPr>
                <w:ilvl w:val="0"/>
                <w:numId w:val="12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128 бит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Зарезервированный регион размером в одну и более страниц, который рекомендуется использовать для хранения множества небольших порций данных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6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Граф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Куча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Массив</w:t>
            </w:r>
          </w:p>
          <w:p>
            <w:pPr>
              <w:pStyle w:val="TableContents"/>
              <w:widowControl w:val="false"/>
              <w:numPr>
                <w:ilvl w:val="0"/>
                <w:numId w:val="6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Дерево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Для учета состояния физической памяти поддерживается база данных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7"/>
              </w:numPr>
              <w:bidi w:val="0"/>
              <w:jc w:val="left"/>
              <w:rPr/>
            </w:pPr>
            <w:r>
              <w:rPr/>
              <w:t>LRU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bidi w:val="0"/>
              <w:jc w:val="left"/>
              <w:rPr/>
            </w:pPr>
            <w:r>
              <w:rPr/>
              <w:t>FIFO</w:t>
            </w:r>
          </w:p>
          <w:p>
            <w:pPr>
              <w:pStyle w:val="TableContents"/>
              <w:widowControl w:val="false"/>
              <w:numPr>
                <w:ilvl w:val="0"/>
                <w:numId w:val="7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PFN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Страницы проецируемого файла можно сбросить на диск явным образом при помощи функции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8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DropCommit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ProjectTable</w:t>
            </w:r>
          </w:p>
          <w:p>
            <w:pPr>
              <w:pStyle w:val="TableContents"/>
              <w:widowControl w:val="false"/>
              <w:numPr>
                <w:ilvl w:val="0"/>
                <w:numId w:val="8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FlushViewOfFile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Если физической памяти достаточно, то рабочий набор процесса должен быть в диапазоне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9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от 1 до 800 страниц</w:t>
            </w:r>
          </w:p>
          <w:p>
            <w:pPr>
              <w:pStyle w:val="TableContents"/>
              <w:widowControl w:val="false"/>
              <w:numPr>
                <w:ilvl w:val="0"/>
                <w:numId w:val="9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от 20 до 45 страниц</w:t>
            </w:r>
          </w:p>
          <w:p>
            <w:pPr>
              <w:pStyle w:val="TableContents"/>
              <w:widowControl w:val="false"/>
              <w:numPr>
                <w:ilvl w:val="0"/>
                <w:numId w:val="9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от 50 до 345 страниц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Для создания файла и присвоения ему имени в ОС Windows используют Win32 функцию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0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CreateFile</w:t>
            </w:r>
          </w:p>
          <w:p>
            <w:pPr>
              <w:pStyle w:val="TableContents"/>
              <w:widowControl w:val="false"/>
              <w:numPr>
                <w:ilvl w:val="0"/>
                <w:numId w:val="10"/>
              </w:numPr>
              <w:bidi w:val="0"/>
              <w:jc w:val="left"/>
              <w:rPr>
                <w:u w:val="single"/>
              </w:rPr>
            </w:pPr>
            <w:r>
              <w:rPr/>
              <w:t>lpFileName</w:t>
            </w:r>
          </w:p>
          <w:p>
            <w:pPr>
              <w:pStyle w:val="TableContents"/>
              <w:widowControl w:val="false"/>
              <w:numPr>
                <w:ilvl w:val="0"/>
                <w:numId w:val="10"/>
              </w:numPr>
              <w:bidi w:val="0"/>
              <w:jc w:val="left"/>
              <w:rPr>
                <w:u w:val="single"/>
              </w:rPr>
            </w:pPr>
            <w:r>
              <w:rPr/>
              <w:t>ReadFile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11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Файловая подсистема ОС Windows имеет дело с файлами, байты которых могут быть считаны в любом порядке. Такие файлы называются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1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Непоследовательными файлами</w:t>
            </w:r>
          </w:p>
          <w:p>
            <w:pPr>
              <w:pStyle w:val="TableContents"/>
              <w:widowControl w:val="false"/>
              <w:numPr>
                <w:ilvl w:val="0"/>
                <w:numId w:val="11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Свободными файлами</w:t>
            </w:r>
          </w:p>
          <w:p>
            <w:pPr>
              <w:pStyle w:val="TableContents"/>
              <w:widowControl w:val="false"/>
              <w:numPr>
                <w:ilvl w:val="0"/>
                <w:numId w:val="11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Файлами прямого доступа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12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Функции, используемые для чтения из файла и записи в него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0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ReadFile</w:t>
            </w:r>
          </w:p>
          <w:p>
            <w:pPr>
              <w:pStyle w:val="TableContents"/>
              <w:widowControl w:val="false"/>
              <w:numPr>
                <w:ilvl w:val="0"/>
                <w:numId w:val="30"/>
              </w:numPr>
              <w:bidi w:val="0"/>
              <w:jc w:val="left"/>
              <w:rPr/>
            </w:pPr>
            <w:r>
              <w:rPr/>
              <w:t>CreateFile</w:t>
            </w:r>
          </w:p>
          <w:p>
            <w:pPr>
              <w:pStyle w:val="TableContents"/>
              <w:widowControl w:val="false"/>
              <w:numPr>
                <w:ilvl w:val="0"/>
                <w:numId w:val="30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WriteFile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13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З</w:t>
            </w:r>
            <w:r>
              <w:rPr/>
              <w:t>ачем нужно кеширование?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3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Ускорение доступа к памяти</w:t>
            </w:r>
          </w:p>
          <w:p>
            <w:pPr>
              <w:pStyle w:val="TableContents"/>
              <w:widowControl w:val="false"/>
              <w:numPr>
                <w:ilvl w:val="0"/>
                <w:numId w:val="13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Сохранение ресурса диска</w:t>
            </w:r>
          </w:p>
          <w:p>
            <w:pPr>
              <w:pStyle w:val="TableContents"/>
              <w:widowControl w:val="false"/>
              <w:numPr>
                <w:ilvl w:val="0"/>
                <w:numId w:val="13"/>
              </w:numPr>
              <w:bidi w:val="0"/>
              <w:jc w:val="left"/>
              <w:rPr/>
            </w:pPr>
            <w:r>
              <w:rPr/>
              <w:t>Ускорение работы процессора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14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Чему равен размер кластера?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4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Размеру сектора</w:t>
            </w:r>
          </w:p>
          <w:p>
            <w:pPr>
              <w:pStyle w:val="TableContents"/>
              <w:widowControl w:val="false"/>
              <w:numPr>
                <w:ilvl w:val="0"/>
                <w:numId w:val="14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Р</w:t>
            </w:r>
            <w:r>
              <w:rPr>
                <w:u w:val="single"/>
              </w:rPr>
              <w:t>азмеру сектора, умноженному на кластерный множитель (claster factor)</w:t>
            </w:r>
          </w:p>
          <w:p>
            <w:pPr>
              <w:pStyle w:val="TableContents"/>
              <w:widowControl w:val="false"/>
              <w:numPr>
                <w:ilvl w:val="0"/>
                <w:numId w:val="14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Кластерному множителю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15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Нижний уровень в системе хранения данных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5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Биты</w:t>
            </w:r>
          </w:p>
          <w:p>
            <w:pPr>
              <w:pStyle w:val="TableContents"/>
              <w:widowControl w:val="false"/>
              <w:numPr>
                <w:ilvl w:val="0"/>
                <w:numId w:val="15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Кластеры</w:t>
            </w:r>
          </w:p>
          <w:p>
            <w:pPr>
              <w:pStyle w:val="TableContents"/>
              <w:widowControl w:val="false"/>
              <w:numPr>
                <w:ilvl w:val="0"/>
                <w:numId w:val="15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Диски с подвижными головками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16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Субъектами в Windows являются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6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Процессы и потоки</w:t>
            </w:r>
          </w:p>
          <w:p>
            <w:pPr>
              <w:pStyle w:val="TableContents"/>
              <w:widowControl w:val="false"/>
              <w:numPr>
                <w:ilvl w:val="0"/>
                <w:numId w:val="16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Пользователи</w:t>
            </w:r>
          </w:p>
          <w:p>
            <w:pPr>
              <w:pStyle w:val="TableContents"/>
              <w:widowControl w:val="false"/>
              <w:numPr>
                <w:ilvl w:val="0"/>
                <w:numId w:val="16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Программы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17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О</w:t>
            </w:r>
            <w:r>
              <w:rPr/>
              <w:t xml:space="preserve">собый вид субъекта, который активизируется при каждом доступе  </w:t>
            </w:r>
            <w:r>
              <w:rPr/>
              <w:t>называется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7"/>
              </w:numPr>
              <w:bidi w:val="0"/>
              <w:jc w:val="left"/>
              <w:rPr/>
            </w:pPr>
            <w:r>
              <w:rPr/>
              <w:t>Фильтром</w:t>
            </w:r>
          </w:p>
          <w:p>
            <w:pPr>
              <w:pStyle w:val="TableContents"/>
              <w:widowControl w:val="false"/>
              <w:numPr>
                <w:ilvl w:val="0"/>
                <w:numId w:val="17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Монитором безопасности</w:t>
            </w:r>
          </w:p>
          <w:p>
            <w:pPr>
              <w:pStyle w:val="TableContents"/>
              <w:widowControl w:val="false"/>
              <w:numPr>
                <w:ilvl w:val="0"/>
                <w:numId w:val="17"/>
              </w:numPr>
              <w:bidi w:val="0"/>
              <w:jc w:val="left"/>
              <w:rPr/>
            </w:pPr>
            <w:r>
              <w:rPr/>
              <w:t>Экраном состояний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18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В ОС Windows все типы объектов защищены одинаковым образом.</w:t>
              <w:br/>
              <w:t>С каждым объектом связан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8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Контроллер доступа</w:t>
            </w:r>
          </w:p>
          <w:p>
            <w:pPr>
              <w:pStyle w:val="TableContents"/>
              <w:widowControl w:val="false"/>
              <w:numPr>
                <w:ilvl w:val="0"/>
                <w:numId w:val="18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Правило антивируса</w:t>
            </w:r>
          </w:p>
          <w:p>
            <w:pPr>
              <w:pStyle w:val="TableContents"/>
              <w:widowControl w:val="false"/>
              <w:numPr>
                <w:ilvl w:val="0"/>
                <w:numId w:val="18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Д</w:t>
            </w:r>
            <w:r>
              <w:rPr>
                <w:u w:val="single"/>
              </w:rPr>
              <w:t>ескриптор защиты (security descriptor)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19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 xml:space="preserve">Подсистема, </w:t>
            </w:r>
            <w:r>
              <w:rPr/>
              <w:t>которая гарантирует, что пользователь имеет разрешение на доступ в систему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19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Подсистема локальной авторизации (Local Security Authority, LSA)</w:t>
            </w:r>
          </w:p>
          <w:p>
            <w:pPr>
              <w:pStyle w:val="TableContents"/>
              <w:widowControl w:val="false"/>
              <w:numPr>
                <w:ilvl w:val="0"/>
                <w:numId w:val="19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Подсистема разграничения прав</w:t>
            </w:r>
          </w:p>
          <w:p>
            <w:pPr>
              <w:pStyle w:val="TableContents"/>
              <w:widowControl w:val="false"/>
              <w:numPr>
                <w:ilvl w:val="0"/>
                <w:numId w:val="19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Брандмауэр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20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Базой данных учета пользователей управляет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31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Local Security Authority, LSA</w:t>
            </w:r>
          </w:p>
          <w:p>
            <w:pPr>
              <w:pStyle w:val="TableContents"/>
              <w:widowControl w:val="false"/>
              <w:numPr>
                <w:ilvl w:val="0"/>
                <w:numId w:val="31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Security Account Manager, SAM</w:t>
            </w:r>
          </w:p>
          <w:p>
            <w:pPr>
              <w:pStyle w:val="TableContents"/>
              <w:widowControl w:val="false"/>
              <w:numPr>
                <w:ilvl w:val="0"/>
                <w:numId w:val="31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Security Reference Monitor, SRM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21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Наиболее важной характеристикой субъекта является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20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Права субъекта</w:t>
            </w:r>
          </w:p>
          <w:p>
            <w:pPr>
              <w:pStyle w:val="TableContents"/>
              <w:widowControl w:val="false"/>
              <w:numPr>
                <w:ilvl w:val="0"/>
                <w:numId w:val="20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Наименование</w:t>
            </w:r>
          </w:p>
          <w:p>
            <w:pPr>
              <w:pStyle w:val="TableContents"/>
              <w:widowControl w:val="false"/>
              <w:numPr>
                <w:ilvl w:val="0"/>
                <w:numId w:val="20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Маркер доступа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22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 xml:space="preserve">Список SACL, входящий в состав дескриптора защиты объекта, </w:t>
            </w:r>
            <w:r>
              <w:rPr/>
              <w:t>можно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21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Ф</w:t>
            </w:r>
            <w:r>
              <w:rPr>
                <w:u w:val="single"/>
              </w:rPr>
              <w:t>ормировать и модифицировать программными средствами</w:t>
            </w:r>
          </w:p>
          <w:p>
            <w:pPr>
              <w:pStyle w:val="TableContents"/>
              <w:widowControl w:val="false"/>
              <w:numPr>
                <w:ilvl w:val="0"/>
                <w:numId w:val="21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Исключить из дескриптора</w:t>
            </w:r>
          </w:p>
          <w:p>
            <w:pPr>
              <w:pStyle w:val="TableContents"/>
              <w:widowControl w:val="false"/>
              <w:numPr>
                <w:ilvl w:val="0"/>
                <w:numId w:val="21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Только оставить в неизменном виде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23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Процедурой аутентификации пользователя в системе управляет программа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22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LightDM</w:t>
            </w:r>
          </w:p>
          <w:p>
            <w:pPr>
              <w:pStyle w:val="TableContents"/>
              <w:widowControl w:val="false"/>
              <w:numPr>
                <w:ilvl w:val="0"/>
                <w:numId w:val="22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WinLogon</w:t>
            </w:r>
          </w:p>
          <w:p>
            <w:pPr>
              <w:pStyle w:val="TableContents"/>
              <w:widowControl w:val="false"/>
              <w:numPr>
                <w:ilvl w:val="0"/>
                <w:numId w:val="22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Kwin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24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 xml:space="preserve">Согласно документации, мониторингу и защите подлежат все поставляемые в составе ОС файлы с расширениями sys, dll, exe и ocx, а также некоторые шрифты TrueType (Micros.ttf, Tahoma.ttf и Tahomabd.ttf). Если выясняется, что файл подменен, 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23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Выводится ошибка</w:t>
            </w:r>
          </w:p>
          <w:p>
            <w:pPr>
              <w:pStyle w:val="TableContents"/>
              <w:widowControl w:val="false"/>
              <w:numPr>
                <w:ilvl w:val="0"/>
                <w:numId w:val="23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Система перезагружается в безопасном режиме</w:t>
            </w:r>
          </w:p>
          <w:p>
            <w:pPr>
              <w:pStyle w:val="TableContents"/>
              <w:widowControl w:val="false"/>
              <w:numPr>
                <w:ilvl w:val="0"/>
                <w:numId w:val="23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Он заменяется копией из каталога</w:t>
            </w:r>
          </w:p>
          <w:p>
            <w:pPr>
              <w:pStyle w:val="TableContents"/>
              <w:widowControl w:val="false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u w:val="single"/>
              </w:rPr>
            </w:pPr>
            <w:r>
              <w:rPr>
                <w:u w:val="single"/>
              </w:rPr>
              <w:t>%systemroot%\system32\dllcache, на который указывает одна из записей в реестре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25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 xml:space="preserve">Обход перекрестной проверки </w:t>
            </w:r>
            <w:r>
              <w:rPr/>
              <w:t>осуществляется с помощью функции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24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SeBackupPrivilege</w:t>
            </w:r>
          </w:p>
          <w:p>
            <w:pPr>
              <w:pStyle w:val="TableContents"/>
              <w:widowControl w:val="false"/>
              <w:numPr>
                <w:ilvl w:val="0"/>
                <w:numId w:val="24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SeChangeNotifyPrivilege</w:t>
            </w:r>
          </w:p>
          <w:p>
            <w:pPr>
              <w:pStyle w:val="TableContents"/>
              <w:widowControl w:val="false"/>
              <w:numPr>
                <w:ilvl w:val="0"/>
                <w:numId w:val="24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SeDebugPrivilege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26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 xml:space="preserve">MFT - </w:t>
            </w:r>
            <w:r>
              <w:rPr/>
              <w:t>это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25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Г</w:t>
            </w:r>
            <w:r>
              <w:rPr>
                <w:u w:val="single"/>
              </w:rPr>
              <w:t>лавная структура данных на диске, представляет собой обычный файл, содержащий до 2</w:t>
            </w:r>
            <w:r>
              <w:rPr>
                <w:u w:val="single"/>
                <w:vertAlign w:val="superscript"/>
              </w:rPr>
              <w:t>48</w:t>
            </w:r>
            <w:r>
              <w:rPr>
                <w:u w:val="single"/>
              </w:rPr>
              <w:t xml:space="preserve"> записей размером 1 Кб каждая</w:t>
            </w:r>
          </w:p>
          <w:p>
            <w:pPr>
              <w:pStyle w:val="TableContents"/>
              <w:widowControl w:val="false"/>
              <w:numPr>
                <w:ilvl w:val="0"/>
                <w:numId w:val="25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Механизм защиты файловой системы от повреждений</w:t>
            </w:r>
          </w:p>
          <w:p>
            <w:pPr>
              <w:pStyle w:val="TableContents"/>
              <w:widowControl w:val="false"/>
              <w:numPr>
                <w:ilvl w:val="0"/>
                <w:numId w:val="25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Механизм контроля доступа к файлам на самом низком уровне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27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В системе Windows учет свободных и занятых дисковых блоков ведется при помощи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26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Журнала</w:t>
            </w:r>
          </w:p>
          <w:p>
            <w:pPr>
              <w:pStyle w:val="TableContents"/>
              <w:widowControl w:val="false"/>
              <w:numPr>
                <w:ilvl w:val="0"/>
                <w:numId w:val="26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Битового вектора</w:t>
            </w:r>
          </w:p>
          <w:p>
            <w:pPr>
              <w:pStyle w:val="TableContents"/>
              <w:widowControl w:val="false"/>
              <w:numPr>
                <w:ilvl w:val="0"/>
                <w:numId w:val="26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Реестра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28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Операция монтирования файловой системы, хранящейся на разделе диска,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27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Делает систему неизменяемой</w:t>
            </w:r>
          </w:p>
          <w:p>
            <w:pPr>
              <w:pStyle w:val="TableContents"/>
              <w:widowControl w:val="false"/>
              <w:numPr>
                <w:ilvl w:val="0"/>
                <w:numId w:val="27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Открывает возможность записи в файловую систему для процессов, но не чтения из нее</w:t>
            </w:r>
          </w:p>
          <w:p>
            <w:pPr>
              <w:pStyle w:val="TableContents"/>
              <w:widowControl w:val="false"/>
              <w:numPr>
                <w:ilvl w:val="0"/>
                <w:numId w:val="27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О</w:t>
            </w:r>
            <w:r>
              <w:rPr>
                <w:u w:val="single"/>
              </w:rPr>
              <w:t>беспечивает ей связь с уже существующей иерархией файловых систем и делает ее файлы доступными для процессов.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29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Соединение между директорией и разделяемым файлом называется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28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Свзяью</w:t>
            </w:r>
          </w:p>
          <w:p>
            <w:pPr>
              <w:pStyle w:val="TableContents"/>
              <w:widowControl w:val="false"/>
              <w:numPr>
                <w:ilvl w:val="0"/>
                <w:numId w:val="28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Ссылкой</w:t>
            </w:r>
          </w:p>
          <w:p>
            <w:pPr>
              <w:pStyle w:val="TableContents"/>
              <w:widowControl w:val="false"/>
              <w:numPr>
                <w:ilvl w:val="0"/>
                <w:numId w:val="28"/>
              </w:numPr>
              <w:bidi w:val="0"/>
              <w:jc w:val="left"/>
              <w:rPr/>
            </w:pPr>
            <w:r>
              <w:rPr/>
              <w:t>Каналом</w:t>
            </w:r>
          </w:p>
        </w:tc>
      </w:tr>
      <w:tr>
        <w:trPr/>
        <w:tc>
          <w:tcPr>
            <w:tcW w:w="510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30</w:t>
            </w:r>
          </w:p>
        </w:tc>
        <w:tc>
          <w:tcPr>
            <w:tcW w:w="4418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П</w:t>
            </w:r>
            <w:r>
              <w:rPr/>
              <w:t>ри поиске файлов Windows Explorer</w:t>
            </w:r>
          </w:p>
          <w:p>
            <w:pPr>
              <w:pStyle w:val="TableContents"/>
              <w:widowControl w:val="false"/>
              <w:bidi w:val="0"/>
              <w:jc w:val="right"/>
              <w:rPr/>
            </w:pPr>
            <w:r>
              <w:rPr/>
              <w:t>останавливает рекурсию по достижении</w:t>
            </w:r>
          </w:p>
        </w:tc>
        <w:tc>
          <w:tcPr>
            <w:tcW w:w="4710" w:type="dxa"/>
            <w:tcBorders/>
            <w:vAlign w:val="center"/>
          </w:tcPr>
          <w:p>
            <w:pPr>
              <w:pStyle w:val="TableContents"/>
              <w:widowControl w:val="false"/>
              <w:numPr>
                <w:ilvl w:val="0"/>
                <w:numId w:val="29"/>
              </w:numPr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32-го уровня вложенности или при</w:t>
            </w:r>
          </w:p>
          <w:p>
            <w:pPr>
              <w:pStyle w:val="TableContents"/>
              <w:widowControl w:val="false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u w:val="single"/>
              </w:rPr>
            </w:pPr>
            <w:r>
              <w:rPr>
                <w:u w:val="single"/>
              </w:rPr>
              <w:t>превышении длины пути в 256 символов</w:t>
            </w:r>
          </w:p>
          <w:p>
            <w:pPr>
              <w:pStyle w:val="TableContents"/>
              <w:widowControl w:val="false"/>
              <w:numPr>
                <w:ilvl w:val="0"/>
                <w:numId w:val="29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128</w:t>
            </w:r>
            <w:r>
              <w:rPr>
                <w:position w:val="0"/>
                <w:sz w:val="24"/>
                <w:u w:val="none"/>
                <w:vertAlign w:val="baseline"/>
              </w:rPr>
              <w:t>-го</w:t>
            </w:r>
            <w:r>
              <w:rPr>
                <w:u w:val="none"/>
              </w:rPr>
              <w:t xml:space="preserve"> уровня вложенности</w:t>
            </w:r>
          </w:p>
          <w:p>
            <w:pPr>
              <w:pStyle w:val="TableContents"/>
              <w:widowControl w:val="false"/>
              <w:numPr>
                <w:ilvl w:val="0"/>
                <w:numId w:val="29"/>
              </w:numPr>
              <w:bidi w:val="0"/>
              <w:jc w:val="left"/>
              <w:rPr>
                <w:u w:val="none"/>
              </w:rPr>
            </w:pPr>
            <w:r>
              <w:rPr>
                <w:u w:val="none"/>
              </w:rPr>
              <w:t>При превышении длины пути в 512 символов</w:t>
            </w:r>
          </w:p>
        </w:tc>
      </w:tr>
    </w:tbl>
    <w:p>
      <w:pPr>
        <w:pStyle w:val="TextBody"/>
        <w:bidi w:val="0"/>
        <w:spacing w:before="0" w:after="140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2245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right"/>
      <w:rPr/>
    </w:pPr>
    <w:r>
      <w:rPr/>
      <w:t>Величко Арсений Александрович</w:t>
    </w:r>
  </w:p>
  <w:p>
    <w:pPr>
      <w:pStyle w:val="Header"/>
      <w:bidi w:val="0"/>
      <w:jc w:val="right"/>
      <w:rPr/>
    </w:pPr>
    <w:r>
      <w:rPr/>
      <w:t>ИВТ 2 курс, 2 группа, 3 подгруппа</w:t>
    </w:r>
  </w:p>
  <w:p>
    <w:pPr>
      <w:pStyle w:val="Header"/>
      <w:bidi w:val="0"/>
      <w:jc w:val="right"/>
      <w:rPr/>
    </w:pPr>
    <w:r>
      <w:rPr/>
      <w:t>Предмет: Операционные системы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  <w:jc w:val="left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265</TotalTime>
  <Application>LibreOffice/7.3.4.2$Linux_X86_64 LibreOffice_project/30$Build-2</Application>
  <AppVersion>15.0000</AppVersion>
  <Pages>3</Pages>
  <Words>710</Words>
  <Characters>4143</Characters>
  <CharactersWithSpaces>4600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2020-09-15T12:38:22Z</dcterms:created>
  <dc:creator/>
  <dc:description/>
  <dc:language>ru-RU</dc:language>
  <cp:lastModifiedBy/>
  <dcterms:modified xsi:type="dcterms:W3CDTF">2022-06-21T16:12:06Z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