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r8mlayx0gxa" w:id="0"/>
      <w:bookmarkEnd w:id="0"/>
      <w:r w:rsidDel="00000000" w:rsidR="00000000" w:rsidRPr="00000000">
        <w:rPr>
          <w:rtl w:val="0"/>
        </w:rPr>
        <w:t xml:space="preserve">Задание 1.4. Национальные исследовательские университеты России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l9k3qhz6c140" w:id="1"/>
      <w:bookmarkEnd w:id="1"/>
      <w:r w:rsidDel="00000000" w:rsidR="00000000" w:rsidRPr="00000000">
        <w:rPr>
          <w:rtl w:val="0"/>
        </w:rPr>
        <w:t xml:space="preserve">Слайд 1. Заголовок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Добрый день, коллеги! Меня зовут Арсений Величко, студент четвертого курса ИВТ. Сегодня расскажу о ключевых научных направлениях Национального исследовательского университета ИТМО.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tx0pctptxws" w:id="2"/>
      <w:bookmarkEnd w:id="2"/>
      <w:r w:rsidDel="00000000" w:rsidR="00000000" w:rsidRPr="00000000">
        <w:rPr>
          <w:rtl w:val="0"/>
        </w:rPr>
        <w:t xml:space="preserve">Слайд 2. Университет в цифрах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ИТМО является одним из пятнадцати российских национальных исследовательских университетов и был основан в 1900 году. Университет имеет более двадцати двух тысяч научных публикаций и свыше двухсот сорока шести тысяч цитирований, занимая сильные позиции в областях Computer Science и Engineering. Проект инновационного кампуса ITMO Highpark сосредоточен на интеллектуальных технологиях, киберфизических системах и квантовых решениях.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26cnjnub3pqs" w:id="3"/>
      <w:bookmarkEnd w:id="3"/>
      <w:r w:rsidDel="00000000" w:rsidR="00000000" w:rsidRPr="00000000">
        <w:rPr>
          <w:rtl w:val="0"/>
        </w:rPr>
        <w:t xml:space="preserve">Слайд 3. Ключевые кластеры исследований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ИТМО объединяет исследования в четыре ключевых кластера: искусственный интеллект и информационные технологии, квантовые и фотонные технологии, робототехнику и сенсорику, биохимические системы и новые материалы. Такая структура позволяет быстро выводить разработки на рынок.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w9mac3g23og5" w:id="4"/>
      <w:bookmarkEnd w:id="4"/>
      <w:r w:rsidDel="00000000" w:rsidR="00000000" w:rsidRPr="00000000">
        <w:rPr>
          <w:rtl w:val="0"/>
        </w:rPr>
        <w:t xml:space="preserve">Слайд 4. Искусственный интеллект и Data Science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Лаборатория искусственного интеллекта занимается машинным обучением, анализом больших данных и компьютерным зрением. Проекты включают предиктивную аналитику городских потоков, медицинские ИИ-системы диагностики и NFT-платформы для цифрового искусства. Сотрудники и студенты активно участвуют в чемпионатах Kaggle и AI Journey.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gog1l9e0jdt6" w:id="5"/>
      <w:bookmarkEnd w:id="5"/>
      <w:r w:rsidDel="00000000" w:rsidR="00000000" w:rsidRPr="00000000">
        <w:rPr>
          <w:rtl w:val="0"/>
        </w:rPr>
        <w:t xml:space="preserve">Слайд 5. Фотоника и квантовые технологии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Факультет фотоники разрабатывает метаматериалы, нано- и биофотонные сенсоры. Квантовые коммуникации и квантовое шифрование являются приоритетом до 2030 года, работает международная лаборатория сверхпроводящих кубитов. Результаты исследований публикуются в ведущих журналах, таких как Nature Photonics и ACS Photonics.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c1p2n9xyp0qr" w:id="6"/>
      <w:bookmarkEnd w:id="6"/>
      <w:r w:rsidDel="00000000" w:rsidR="00000000" w:rsidRPr="00000000">
        <w:rPr>
          <w:rtl w:val="0"/>
        </w:rPr>
        <w:t xml:space="preserve">Слайд 6. Кибербезопасность и теории кодирования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Лаборатория информационной и кодовой теории исследует полярные и LDPC-коды для сетей шестого поколения. В университете работает собственный CTF-полигон и ежегодно проводится конкурс SPbCTF. Реализуется сотрудничество с Лабораторией Касперского и Центром компетенций НТИ по безопасности и хранению данных.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ywflpz2m3eft" w:id="7"/>
      <w:bookmarkEnd w:id="7"/>
      <w:r w:rsidDel="00000000" w:rsidR="00000000" w:rsidRPr="00000000">
        <w:rPr>
          <w:rtl w:val="0"/>
        </w:rPr>
        <w:t xml:space="preserve">Слайд 7. Робототехника и киберфизические системы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Центр робототехники разрабатывает беспилотные платформы для аграрных и арктических проектов. В перспективе планируется синтез искусственного интеллекта и квантовых вычислений для управления сложными роботами. Студенческая команда ITMO RoboCup является многократным чемпионом мира по робофутболу.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vzsvdt4ux2j7" w:id="8"/>
      <w:bookmarkEnd w:id="8"/>
      <w:r w:rsidDel="00000000" w:rsidR="00000000" w:rsidRPr="00000000">
        <w:rPr>
          <w:rtl w:val="0"/>
        </w:rPr>
        <w:t xml:space="preserve">Слайд 8. Междисциплинарные проекты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Междисциплинарные проекты включают лабораторию Art &amp; Science в сотрудничестве с Государственным Эрмитажем, где искусственный интеллект применяется в реставрации произведений искусства. Вместе с компанией Газпром нефть создаются цифровые двойники месторождений. Подход science-art-business ускоряет коммерциализацию идей.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vf11hla3i87" w:id="9"/>
      <w:bookmarkEnd w:id="9"/>
      <w:r w:rsidDel="00000000" w:rsidR="00000000" w:rsidRPr="00000000">
        <w:rPr>
          <w:rtl w:val="0"/>
        </w:rPr>
        <w:t xml:space="preserve">Слайд 9. Возможности для студентов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Для студентов открыто более пятидесяти международных лабораторий. Программа Research Assistant предлагает оплачиваемую работу в научных группах, начиная со второго курса. Стартап-акселератор ИТМО предоставляет гранты до одного миллиона рублей на создание прототипа.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833ad0b1ryyb" w:id="10"/>
      <w:bookmarkEnd w:id="10"/>
      <w:r w:rsidDel="00000000" w:rsidR="00000000" w:rsidRPr="00000000">
        <w:rPr>
          <w:rtl w:val="0"/>
        </w:rPr>
        <w:t xml:space="preserve">Слайд 10. Итоги и вопросы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ИТМО демонстрирует, как тесная связь фундаментальных исследований и индустрии формирует экосистему инноваций. Благодарю за внимание и готов ответить на вопросы.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693" w:top="2245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Величко Арсений Александрович</w:t>
    </w:r>
  </w:p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ИВТ 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курс, 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группа</w:t>
    </w:r>
  </w:p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Предмет: </w:t>
    </w:r>
    <w:r w:rsidDel="00000000" w:rsidR="00000000" w:rsidRPr="00000000">
      <w:rPr>
        <w:rtl w:val="0"/>
      </w:rPr>
      <w:t xml:space="preserve">Научно-исследовательский проект</w:t>
    </w:r>
  </w:p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rFonts w:ascii="Liberation Sans" w:cs="Liberation Sans" w:eastAsia="Liberation Sans" w:hAnsi="Liberation Sans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0" w:firstLine="0"/>
    </w:pPr>
    <w:rPr>
      <w:rFonts w:ascii="Liberation Sans" w:cs="Liberation Sans" w:eastAsia="Liberation Sans" w:hAnsi="Liberation Sans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0" w:firstLine="0"/>
    </w:pPr>
    <w:rPr>
      <w:rFonts w:ascii="Liberation Sans" w:cs="Liberation Sans" w:eastAsia="Liberation Sans" w:hAnsi="Liberation Sans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