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ab7d3wyv6se" w:id="0"/>
      <w:bookmarkEnd w:id="0"/>
      <w:r w:rsidDel="00000000" w:rsidR="00000000" w:rsidRPr="00000000">
        <w:rPr>
          <w:rtl w:val="0"/>
        </w:rPr>
        <w:t xml:space="preserve">Задание 6.3. Обоснование выбора методов исследования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ytovfypb6krf" w:id="1"/>
      <w:bookmarkEnd w:id="1"/>
      <w:r w:rsidDel="00000000" w:rsidR="00000000" w:rsidRPr="00000000">
        <w:rPr>
          <w:rtl w:val="0"/>
        </w:rPr>
        <w:t xml:space="preserve">1. Базовый методологический уровень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335l109kbhr5" w:id="2"/>
      <w:bookmarkEnd w:id="2"/>
      <w:r w:rsidDel="00000000" w:rsidR="00000000" w:rsidRPr="00000000">
        <w:rPr>
          <w:rtl w:val="0"/>
        </w:rPr>
        <w:t xml:space="preserve">1.1 Системный подход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Оптимизация serverless-функций затрагивает не отдельные алгоритмы, а всю экосистему ― облачную платформу импортозамещения, инструменты деплоя, сеть и сами функции. Рассматривать объект как целостную открытую систему позволяет: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выделить взаимосвязанные компоненты (платформа → функция → метрики),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определить внешние ограничения (регуляторные, аппаратные),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структурировать эксперимент так, чтобы изменения любой подсистемы отражались на результирующей производительности.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4p6aka5m8m1u" w:id="3"/>
      <w:bookmarkEnd w:id="3"/>
      <w:r w:rsidDel="00000000" w:rsidR="00000000" w:rsidRPr="00000000">
        <w:rPr>
          <w:rtl w:val="0"/>
        </w:rPr>
        <w:t xml:space="preserve">1.2 Информационный и кибернетический подходы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Serverless-стек можно описать через потоки событий и управление ресурсами «по требованию». Кибернетический взгляд (обратные связи, адаптивное управление) помогает формализовать правила автоскейлинга, тогда как информационный подход задаёт измеряемые параметры — время отклика, холодный старт, стоимость.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bpcwxepmjh4z" w:id="4"/>
      <w:bookmarkEnd w:id="4"/>
      <w:r w:rsidDel="00000000" w:rsidR="00000000" w:rsidRPr="00000000">
        <w:rPr>
          <w:rtl w:val="0"/>
        </w:rPr>
        <w:t xml:space="preserve">2. Частнонаучные методы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t6prrlxdylst" w:id="5"/>
      <w:bookmarkEnd w:id="5"/>
      <w:r w:rsidDel="00000000" w:rsidR="00000000" w:rsidRPr="00000000">
        <w:rPr>
          <w:rtl w:val="0"/>
        </w:rPr>
        <w:t xml:space="preserve">2.1 Математическое моделирование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Создание нагрузочных моделей (λ-процессы поступления запросов, вероятностные модели инициализации контейнеров) даёт возможность заранее прогнозировать узкие места и экономический эффект от оптимизации, уменьшая объём натурных испытаний.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t1jyn0jizht6" w:id="6"/>
      <w:bookmarkEnd w:id="6"/>
      <w:r w:rsidDel="00000000" w:rsidR="00000000" w:rsidRPr="00000000">
        <w:rPr>
          <w:rtl w:val="0"/>
        </w:rPr>
        <w:t xml:space="preserve">2.2 Эксперимент (натурные измерения)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Выполнение контрольных и опытных прогонов на тестовом кластере позволяет: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получить «чистую» выборку метрик до/после изменений,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валидировать модель,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выявить зависимости, которые не раскрываются чисто аналитически (например, влияние под-системы хранения).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urrhwvhx9vo7" w:id="7"/>
      <w:bookmarkEnd w:id="7"/>
      <w:r w:rsidDel="00000000" w:rsidR="00000000" w:rsidRPr="00000000">
        <w:rPr>
          <w:rtl w:val="0"/>
        </w:rPr>
        <w:t xml:space="preserve">2.3 Сравнительный анализ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Метод pair-wise comparison и относительные показатели (speed-up, %-экономия) дают наглядную оценку эффективности предложенных приёмов импортозамещения в сопоставлении с исходной (часто проприетарной) конфигурацией.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krgo4mb2xnvg" w:id="8"/>
      <w:bookmarkEnd w:id="8"/>
      <w:r w:rsidDel="00000000" w:rsidR="00000000" w:rsidRPr="00000000">
        <w:rPr>
          <w:rtl w:val="0"/>
        </w:rPr>
        <w:t xml:space="preserve">3. Эмпирические методы поддержки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61r1um9g1j6v" w:id="9"/>
      <w:bookmarkEnd w:id="9"/>
      <w:r w:rsidDel="00000000" w:rsidR="00000000" w:rsidRPr="00000000">
        <w:rPr>
          <w:rtl w:val="0"/>
        </w:rPr>
        <w:t xml:space="preserve">3.1 Наблюдение и логирование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Систематический сбор логов и трассировки вызовов выявляет поведенческие паттерны (частота холодных стартов, пиковые окна нагрузки).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4r3pnmm6y8ji" w:id="10"/>
      <w:bookmarkEnd w:id="10"/>
      <w:r w:rsidDel="00000000" w:rsidR="00000000" w:rsidRPr="00000000">
        <w:rPr>
          <w:rtl w:val="0"/>
        </w:rPr>
        <w:t xml:space="preserve">3.2 Измерение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Использование точных средств мониторинга (Prometheus + Grafana,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perf_event</w:t>
      </w:r>
      <w:r w:rsidDel="00000000" w:rsidR="00000000" w:rsidRPr="00000000">
        <w:rPr>
          <w:rtl w:val="0"/>
        </w:rPr>
        <w:t xml:space="preserve">) обеспечивает статистически достоверные значения времени отклика, использования CPU и сети — ключевых аргументов в формулировке рекомендаций.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qb7tjez08fq" w:id="11"/>
      <w:bookmarkEnd w:id="11"/>
      <w:r w:rsidDel="00000000" w:rsidR="00000000" w:rsidRPr="00000000">
        <w:rPr>
          <w:rtl w:val="0"/>
        </w:rPr>
        <w:t xml:space="preserve">4. Логико-теоретические методы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2yw5n8qsdy81" w:id="12"/>
      <w:bookmarkEnd w:id="12"/>
      <w:r w:rsidDel="00000000" w:rsidR="00000000" w:rsidRPr="00000000">
        <w:rPr>
          <w:rtl w:val="0"/>
        </w:rPr>
        <w:t xml:space="preserve">4.1 Индукция и дедукция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Индуктивный анализ экспериментальных данных формирует гипотезы, а дедукция проверяет их в моделях и дополнительных тестах, замыкая итеративный цикл оптимизации.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r4wl1adsduli" w:id="13"/>
      <w:bookmarkEnd w:id="13"/>
      <w:r w:rsidDel="00000000" w:rsidR="00000000" w:rsidRPr="00000000">
        <w:rPr>
          <w:rtl w:val="0"/>
        </w:rPr>
        <w:t xml:space="preserve">4.2 Формализация требований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Формальное описание SLA и политик импортозамещения упрощает автоматическую проверку соответствия полученных результатов требованиям регуляторов и бизнеса.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r0m365e0068d" w:id="14"/>
      <w:bookmarkEnd w:id="14"/>
      <w:r w:rsidDel="00000000" w:rsidR="00000000" w:rsidRPr="00000000">
        <w:rPr>
          <w:rtl w:val="0"/>
        </w:rPr>
        <w:t xml:space="preserve">5. Заключение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Комбинация системного, информационно-кибернетического, моделирующего и экспериментального методов обеспечивает полноту исследования: от теоретического обоснования до воспроизводимой практики. Такой набор отражает сложность объекта, минимизирует риски некорректных выводов и позволяет выдать обоснованные рекомендации по развёртыванию и конфигурации serverless-функций на отечественных облачных платформах.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693" w:top="2245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an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Величко Арсений Александрович</w:t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ИВТ 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курс, 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группа</w:t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Предмет: </w:t>
    </w:r>
    <w:r w:rsidDel="00000000" w:rsidR="00000000" w:rsidRPr="00000000">
      <w:rPr>
        <w:rtl w:val="0"/>
      </w:rPr>
      <w:t xml:space="preserve">Научно-исследовательский проект</w:t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0" w:firstLine="0"/>
    </w:pPr>
    <w:rPr>
      <w:rFonts w:ascii="Liberation Sans" w:cs="Liberation Sans" w:eastAsia="Liberation Sans" w:hAnsi="Liberation Sans"/>
      <w:b w:val="1"/>
      <w:i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0" w:firstLine="0"/>
    </w:pPr>
    <w:rPr>
      <w:rFonts w:ascii="Liberation Sans" w:cs="Liberation Sans" w:eastAsia="Liberation Sans" w:hAnsi="Liberation Sans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0" w:firstLine="0"/>
    </w:pPr>
    <w:rPr>
      <w:rFonts w:ascii="Liberation Sans" w:cs="Liberation Sans" w:eastAsia="Liberation Sans" w:hAnsi="Liberation Sans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