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12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Лабораторная работа 5. Интерфейс приложения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68wl412hmqhs" w:id="0"/>
      <w:bookmarkEnd w:id="0"/>
      <w:r w:rsidDel="00000000" w:rsidR="00000000" w:rsidRPr="00000000">
        <w:rPr>
          <w:rtl w:val="0"/>
        </w:rPr>
        <w:t xml:space="preserve">Домашний экран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82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верхней части расположен горизонтальный навбар (тип: панель навигации), который содержит логотип и пункты меню “Home”, “Booking Calendar” и “Booking Confirmation” (назначение: переключение между основными разделами, действие: переход на соответствующие страницы). Под ним крупный заголовок с описанием преимуществ сервиса (тип: текстовый блок, назначение: привлечь внимание и кратко объяснить суть приложения, отображается крупным шрифтом). Ниже размещены две карточки с изображениями и подписями “State-of-the-Art Facilities” и “Flexible Plans” (тип: карточки контента, назначение: визуально представить ключевые возможности и условия, действие: предоставляют дополнительную информацию). Кнопка “Book Your Spot Now” (тип: кнопка призыва к действию, назначение: оформить бронирование, при нажатии происходит переход к форме бронирования). В нижней части экрана находится футер с пунктами “Contact”, “Privacy Policy” и “Terms of Service” (тип: панель ссылок, назначение: дать доступ к дополнительной информации, действие: переход на соответствующие страницы).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68eemqu0y3li" w:id="1"/>
      <w:bookmarkEnd w:id="1"/>
      <w:r w:rsidDel="00000000" w:rsidR="00000000" w:rsidRPr="00000000">
        <w:rPr>
          <w:rtl w:val="0"/>
        </w:rPr>
        <w:t xml:space="preserve">Экран бронирования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975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В верхней части экрана расположена панель навигации (тип: панель навигации, назначение: переключение между основными разделами, действие: переход на соответствующие страницы). В центральной области представлены блоки “Select a Date” и “Select a Time Slot” (тип: интерактивные поля выбора, назначение: выбрать дату и время, при нажатии отображается календарь или выпадающий список). Справа находится панель “Filters” (тип: панель фильтров, назначение: отсеивать доступные места по удобствам, действие: применение выбранных фильтров). Ниже расположен раздел “Available Spots” с карточками рабочих мест (тип: карточки, назначение: показать информацию о доступных вариантах и цене, действие: выбор конкретного места для бронирования). В нижней части экрана размещён футер с контактными данными и ссылками “Privacy Policy” и “Terms of Service” (тип: панель ссылок, назначение: предоставить дополнительную информацию и условия использования, действие: переход на соответствующие страницы).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ugcjosyaf00o" w:id="2"/>
      <w:bookmarkEnd w:id="2"/>
      <w:r w:rsidDel="00000000" w:rsidR="00000000" w:rsidRPr="00000000">
        <w:rPr>
          <w:rtl w:val="0"/>
        </w:rPr>
        <w:t xml:space="preserve">Экран подтверждения бронирования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97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В верхней части экрана расположена панель навигации (тип: панель навигации, назначение: переключение между основными разделами, действие: переход на соответствующие страницы). По центру виден заголовок “Booking Confirmation” (тип: текстовый блок, назначение: обозначить текущую страницу, отображается крупным шрифтом). Ниже представлен блок с информацией о бронировании, включая дату, время и место (тип: текстовый блок, назначение: показать детали заказа, действие: только чтение). Под деталями бронирования отображаются разделы “Total Cost” и “Payment Options” с выбором способа оплаты (тип: текстовые блоки и переключатели, назначение: предоставить информацию о стоимости и предложить варианты оплаты, действие: выбор платежного метода). Кнопка “Return to Home” (тип: кнопка призыва к действию, назначение: вернуться на главную страницу, при нажатии происходит переход к экрану Home). В нижней части экрана размещён футер (тип: панель ссылок, назначение: отобразить юридическую и контактную информацию, действие: переход на соответствующие страницы).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693" w:top="2245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Величко Арсений Александрович</w:t>
    </w:r>
  </w:p>
  <w:p w:rsidR="00000000" w:rsidDel="00000000" w:rsidP="00000000" w:rsidRDefault="00000000" w:rsidRPr="00000000" w14:paraId="000000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ИВТ 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курс, 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группа</w:t>
    </w:r>
  </w:p>
  <w:p w:rsidR="00000000" w:rsidDel="00000000" w:rsidP="00000000" w:rsidRDefault="00000000" w:rsidRPr="00000000" w14:paraId="000000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Предмет: </w:t>
    </w:r>
    <w:r w:rsidDel="00000000" w:rsidR="00000000" w:rsidRPr="00000000">
      <w:rPr>
        <w:rtl w:val="0"/>
      </w:rPr>
      <w:t xml:space="preserve">Управление программными проектами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0" w:firstLine="0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