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Самостоятельная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40" w:line="276" w:lineRule="auto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1.1 Список заинтересованных сторон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4j7ams34le" w:id="1"/>
      <w:bookmarkEnd w:id="1"/>
      <w:r w:rsidDel="00000000" w:rsidR="00000000" w:rsidRPr="00000000">
        <w:rPr>
          <w:rtl w:val="0"/>
        </w:rPr>
        <w:t xml:space="preserve">Заказчик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удобного и эффективного инструмента для управления бронированием рабочих мест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прибыли за счёт более высокой загрузки коворкинга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аналитики для принятия управленческих решений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Влияние: Высокое. Именно заказчик формирует требования к продукту, согласовывает бюджет и сроки, а также принимает итоговое решение о запуске и дальнейшем развитии проекта.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t82y4knh0lyx" w:id="2"/>
      <w:bookmarkEnd w:id="2"/>
      <w:r w:rsidDel="00000000" w:rsidR="00000000" w:rsidRPr="00000000">
        <w:rPr>
          <w:rtl w:val="0"/>
        </w:rPr>
        <w:t xml:space="preserve">Администратор коворкинга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Удобство управления бронированиями и контроля свободных мест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Оперативное внесение изменений в расписание и доступные ресурсы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своевременного оповещения клиентов о наличии, переносе или отмене бронирований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Влияние: Среднее/Высокое. Администратор обеспечивает актуальность данных и непрерывность работы. Его обратная связь существенна при доработках и обновлениях приложения.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ezwrz069qozx" w:id="3"/>
      <w:bookmarkEnd w:id="3"/>
      <w:r w:rsidDel="00000000" w:rsidR="00000000" w:rsidRPr="00000000">
        <w:rPr>
          <w:rtl w:val="0"/>
        </w:rPr>
        <w:t xml:space="preserve">Пользователи (клиенты коворкинга: фрилансеры, небольшие команды, стартапы)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Удобный поиск и резервирование рабочих мест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Быстрая оплата и простая навигация по системе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Надёжность и доступность сервиса в любое время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Влияние: Высокое. Без удовлетворённости пользователей проект утратит ценность. Именно их опыт определяет успешность продукта на рынке.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dj3i8ocue8k" w:id="4"/>
      <w:bookmarkEnd w:id="4"/>
      <w:r w:rsidDel="00000000" w:rsidR="00000000" w:rsidRPr="00000000">
        <w:rPr>
          <w:rtl w:val="0"/>
        </w:rPr>
        <w:t xml:space="preserve">Команда разработки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Чёткое техническое задание и достаточные ресурсы для реализации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сроков, возможностей и требований по качеству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обратной связи от заказчика и пользователей для улучшения продукта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Влияние: Среднее. Способность команды качественно и своевременно выполнять задачи определяет соответствие приложения заявленным требованиям.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w4ywqurnbm4z" w:id="5"/>
      <w:bookmarkEnd w:id="5"/>
      <w:r w:rsidDel="00000000" w:rsidR="00000000" w:rsidRPr="00000000">
        <w:rPr>
          <w:rtl w:val="0"/>
        </w:rPr>
        <w:t xml:space="preserve">Маркетинговый отдел (или подрядчики, занимающиеся продвижением)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Успешное продвижение продукта среди целевой аудитории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Привлечение новых клиентов и повышение узнаваемости коворкинга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маркетинговой стратегии и аналитики пользовательских данных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Влияние: Среднее. Успешный маркетинг обеспечивает приток клиентов и влияет на темпы роста сервиса, но маркетологи зависят от готовности и качества технического решения.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9w9xp6ot7ri" w:id="6"/>
      <w:bookmarkEnd w:id="6"/>
      <w:r w:rsidDel="00000000" w:rsidR="00000000" w:rsidRPr="00000000">
        <w:rPr>
          <w:rtl w:val="0"/>
        </w:rPr>
        <w:t xml:space="preserve">Инвесторы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инвестиций и получение прибыли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Положительная динамика показателей (рост числа бронирований, масштабирование рынка)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рисков и стабильная бизнес-модель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Влияние: Высокое. Инвесторы могут влиять на бюджет, сроки и ключевые стратегические решения. Их удовлетворённость результатом важна для дальнейшего финансирования развития проекта.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rh1r2ygf5kit" w:id="7"/>
      <w:bookmarkEnd w:id="7"/>
      <w:r w:rsidDel="00000000" w:rsidR="00000000" w:rsidRPr="00000000">
        <w:rPr>
          <w:rtl w:val="0"/>
        </w:rPr>
        <w:t xml:space="preserve">Провайдеры платёжных систем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Стабильная и корректная интеграция в веб-приложение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требований безопасности и защищённости платежей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пропускная способность при увеличении количества транзакций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Влияние: Низкое/Среднее. Условия интеграции и требования по безопасности часто регламентируются самими провайдерами, и если их не соблюдать, платежи станут недоступны, что напрямую отразится на доходах и удобстве пользователей.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80c9vny4jf80" w:id="8"/>
      <w:bookmarkEnd w:id="8"/>
      <w:r w:rsidDel="00000000" w:rsidR="00000000" w:rsidRPr="00000000">
        <w:rPr>
          <w:rtl w:val="0"/>
        </w:rPr>
        <w:t xml:space="preserve">Специалисты службы поддержки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удобных инструментов для поиска информации о бронированиях и учётных записей клиентов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Минимизация количества жалоб и обращений благодаря качественному продукту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Своевременное получение уведомлений о возможных сбоях или ошибках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Влияние: Среднее. Их обратная связь помогает оперативно решать проблемы и улучшать продукт, но степень влияния во многом зависит от организационной структуры.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or7aquj26m6" w:id="9"/>
      <w:bookmarkEnd w:id="9"/>
      <w:r w:rsidDel="00000000" w:rsidR="00000000" w:rsidRPr="00000000">
        <w:rPr>
          <w:rtl w:val="0"/>
        </w:rPr>
        <w:t xml:space="preserve">Регуляторы и контролирующие органы (в случаях, когда требуется сертификация, соблюдение стандартов по защите данных)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Интересы: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Соблюдение всех правовых норм при обработке персональных и платёжных данных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правилам и стандартам безопасности (например, PCI DSS при работе с платежами)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Влияние: Низкое/Среднее. При несоблюдении регуляторных требований проект может быть оштрафован или ограничен в работе, что критически сказывается на репутации и финансовых показателях.</w:t>
      </w:r>
    </w:p>
    <w:p w:rsidR="00000000" w:rsidDel="00000000" w:rsidP="00000000" w:rsidRDefault="00000000" w:rsidRPr="00000000" w14:paraId="00000049">
      <w:pPr>
        <w:pStyle w:val="Heading2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qf94p56t5wwb" w:id="10"/>
      <w:bookmarkEnd w:id="10"/>
      <w:r w:rsidDel="00000000" w:rsidR="00000000" w:rsidRPr="00000000">
        <w:rPr>
          <w:rtl w:val="0"/>
        </w:rPr>
        <w:t xml:space="preserve">ИСР 1.2 Риски и возможные последствия</w:t>
      </w:r>
      <w:r w:rsidDel="00000000" w:rsidR="00000000" w:rsidRPr="00000000">
        <w:rPr>
          <w:rtl w:val="0"/>
        </w:rPr>
      </w:r>
    </w:p>
    <w:tbl>
      <w:tblPr>
        <w:tblStyle w:val="Table1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5812"/>
        <w:tblGridChange w:id="0">
          <w:tblGrid>
            <w:gridCol w:w="4531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Риск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Недостаточное количество пользователей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Сокращение финансовых поступлений, низкая рентабельность приложения и замедление дальнейшего развития проекта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Технические сбои и проблемы с производительностью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Снижение удовлетворённости клиентов, потеря репутации и рост расходов на исправление ошибок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Проблемы с интеграцией платежных систем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Потеря части потенциальных клиентов, риск сбоев при оплате и недоверие к безопасности финансовых операций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Высокая конкуренция на рынке бронирования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Трудности в привлечении пользователей, рост затрат на маркетинг и необходимость постоянного совершенствования функционала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5c8s46od17h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l3knh2jatex2" w:id="12"/>
      <w:bookmarkEnd w:id="12"/>
      <w:r w:rsidDel="00000000" w:rsidR="00000000" w:rsidRPr="00000000">
        <w:rPr>
          <w:rtl w:val="0"/>
        </w:rPr>
        <w:t xml:space="preserve">ВСР </w:t>
      </w:r>
      <w:r w:rsidDel="00000000" w:rsidR="00000000" w:rsidRPr="00000000">
        <w:rPr>
          <w:rtl w:val="0"/>
        </w:rPr>
        <w:t xml:space="preserve">1.1 Оценка задач по методу “T-Shirt Sizes”</w:t>
      </w:r>
    </w:p>
    <w:tbl>
      <w:tblPr>
        <w:tblStyle w:val="Table2"/>
        <w:tblW w:w="103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190"/>
        <w:gridCol w:w="2175"/>
        <w:tblGridChange w:id="0">
          <w:tblGrid>
            <w:gridCol w:w="2970"/>
            <w:gridCol w:w="519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Этап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Задача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Трудоемкость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Этап 1. Анализ и планирование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Исследование рынка и анализ потребностей целевой аудитории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Сбор требований и составление функциональной спецификации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Этап 2. Дизайн и прототипирование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Разработка UX/UI дизайна приложения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интерактивного прототипа и первичное тестирование с пользователями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Этап 3. Разработка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Разработка фронтенд части (интерфейс, адаптивный дизайн)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XL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Разработка бэкенд части (серверная логика, базы данных)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XL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Интеграция платёжных систем и обеспечение безопасности транзакций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Проведение модульного и интеграционного тестирования, устранение ошибок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Этап 4. Запуск и маркетинг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Развертывание приложения на сервере, настройка инфраструктуры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Запуск маркетинговой кампании и привлечение первых пользователей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Управление программными проектами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