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13B2" w14:textId="099B7117" w:rsidR="000565A1" w:rsidRPr="00FB552B" w:rsidRDefault="000565A1" w:rsidP="000565A1">
      <w:pPr>
        <w:pStyle w:val="11"/>
        <w:spacing w:after="0" w:line="360" w:lineRule="auto"/>
        <w:ind w:left="0" w:right="-81" w:firstLine="567"/>
        <w:jc w:val="both"/>
        <w:rPr>
          <w:rFonts w:ascii="Times New Roman" w:hAnsi="Times New Roman"/>
          <w:color w:val="FF0000"/>
        </w:rPr>
      </w:pPr>
      <w:r w:rsidRPr="000E6E44">
        <w:rPr>
          <w:rFonts w:ascii="Times New Roman" w:hAnsi="Times New Roman"/>
        </w:rPr>
        <w:t>УДК</w:t>
      </w:r>
      <w:r>
        <w:rPr>
          <w:rFonts w:ascii="Times New Roman" w:hAnsi="Times New Roman"/>
        </w:rPr>
        <w:t xml:space="preserve"> </w:t>
      </w:r>
      <w:r>
        <w:rPr>
          <w:rFonts w:ascii="Times New Roman" w:hAnsi="Times New Roman"/>
          <w:color w:val="000000"/>
        </w:rPr>
        <w:t>004.</w:t>
      </w:r>
      <w:r w:rsidR="001F6350">
        <w:rPr>
          <w:rFonts w:ascii="Times New Roman" w:hAnsi="Times New Roman"/>
          <w:color w:val="000000"/>
        </w:rPr>
        <w:t>6</w:t>
      </w:r>
    </w:p>
    <w:p w14:paraId="3580972A" w14:textId="77777777" w:rsidR="000565A1" w:rsidRDefault="000565A1" w:rsidP="000565A1">
      <w:pPr>
        <w:pStyle w:val="msonormalcxspmiddle"/>
        <w:spacing w:before="0" w:beforeAutospacing="0" w:after="0" w:afterAutospacing="0" w:line="360" w:lineRule="auto"/>
        <w:ind w:right="-81" w:firstLine="567"/>
        <w:jc w:val="center"/>
        <w:rPr>
          <w:b/>
          <w:color w:val="000000"/>
          <w:sz w:val="36"/>
          <w:szCs w:val="36"/>
        </w:rPr>
      </w:pPr>
    </w:p>
    <w:p w14:paraId="46E4CCA1" w14:textId="77777777" w:rsidR="00E868B4" w:rsidRPr="00E42809" w:rsidRDefault="00E868B4" w:rsidP="000565A1">
      <w:pPr>
        <w:pStyle w:val="msonormalcxspmiddle"/>
        <w:spacing w:before="0" w:beforeAutospacing="0" w:after="0" w:afterAutospacing="0" w:line="360" w:lineRule="auto"/>
        <w:ind w:right="-81" w:firstLine="567"/>
        <w:jc w:val="center"/>
        <w:rPr>
          <w:b/>
          <w:color w:val="000000"/>
          <w:sz w:val="32"/>
          <w:szCs w:val="36"/>
        </w:rPr>
      </w:pPr>
      <w:r w:rsidRPr="00E868B4">
        <w:rPr>
          <w:b/>
          <w:color w:val="000000"/>
          <w:sz w:val="32"/>
          <w:szCs w:val="36"/>
        </w:rPr>
        <w:t>Разработка модели выявления подозрительной транзакционной активности в системах обращения цифровых активов на основе графового анализа</w:t>
      </w:r>
    </w:p>
    <w:p w14:paraId="61B29F3D" w14:textId="0B7C9ECD" w:rsidR="000565A1" w:rsidRPr="00FB552B" w:rsidRDefault="009B389A" w:rsidP="000565A1">
      <w:pPr>
        <w:pStyle w:val="msonormalcxspmiddle"/>
        <w:spacing w:before="0" w:beforeAutospacing="0" w:after="0" w:afterAutospacing="0" w:line="360" w:lineRule="auto"/>
        <w:ind w:right="-81" w:firstLine="567"/>
        <w:jc w:val="center"/>
        <w:rPr>
          <w:i/>
          <w:sz w:val="28"/>
          <w:szCs w:val="32"/>
        </w:rPr>
      </w:pPr>
      <w:r>
        <w:rPr>
          <w:i/>
          <w:sz w:val="28"/>
          <w:szCs w:val="32"/>
        </w:rPr>
        <w:t>К</w:t>
      </w:r>
      <w:r w:rsidR="000565A1">
        <w:rPr>
          <w:i/>
          <w:sz w:val="28"/>
          <w:szCs w:val="32"/>
        </w:rPr>
        <w:t>.</w:t>
      </w:r>
      <w:r w:rsidR="00AC1094" w:rsidRPr="007F3375">
        <w:rPr>
          <w:i/>
          <w:sz w:val="28"/>
          <w:szCs w:val="32"/>
        </w:rPr>
        <w:t xml:space="preserve"> </w:t>
      </w:r>
      <w:r w:rsidR="000565A1">
        <w:rPr>
          <w:i/>
          <w:sz w:val="28"/>
          <w:szCs w:val="32"/>
        </w:rPr>
        <w:t>Д.</w:t>
      </w:r>
      <w:r w:rsidR="00AC1094" w:rsidRPr="007F3375">
        <w:rPr>
          <w:i/>
          <w:sz w:val="28"/>
          <w:szCs w:val="32"/>
        </w:rPr>
        <w:t xml:space="preserve"> </w:t>
      </w:r>
      <w:r>
        <w:rPr>
          <w:i/>
          <w:sz w:val="28"/>
          <w:szCs w:val="32"/>
        </w:rPr>
        <w:t>Костицын</w:t>
      </w:r>
    </w:p>
    <w:p w14:paraId="1C93C1C0" w14:textId="3771C0DE" w:rsidR="000565A1" w:rsidRPr="00BE235F" w:rsidRDefault="000565A1" w:rsidP="000565A1">
      <w:pPr>
        <w:pStyle w:val="msonormalcxspmiddle"/>
        <w:spacing w:before="0" w:beforeAutospacing="0" w:after="0" w:afterAutospacing="0"/>
        <w:ind w:firstLine="567"/>
        <w:jc w:val="center"/>
      </w:pPr>
      <w:r w:rsidRPr="00FB552B">
        <w:t>Московский</w:t>
      </w:r>
      <w:r w:rsidR="007F3375">
        <w:t xml:space="preserve"> политехнический университет</w:t>
      </w:r>
    </w:p>
    <w:p w14:paraId="6B7CAD60" w14:textId="77777777" w:rsidR="000565A1" w:rsidRPr="00FB552B" w:rsidRDefault="000565A1" w:rsidP="000565A1">
      <w:pPr>
        <w:pStyle w:val="msonormalcxspmiddle"/>
        <w:spacing w:before="0" w:beforeAutospacing="0" w:after="0" w:afterAutospacing="0"/>
        <w:ind w:firstLine="567"/>
        <w:jc w:val="center"/>
      </w:pPr>
      <w:r w:rsidRPr="00FB552B">
        <w:t>127550,</w:t>
      </w:r>
      <w:r>
        <w:t xml:space="preserve"> </w:t>
      </w:r>
      <w:r w:rsidRPr="00FB552B">
        <w:t>Москва,</w:t>
      </w:r>
      <w:r>
        <w:t xml:space="preserve"> </w:t>
      </w:r>
      <w:r w:rsidRPr="00FB552B">
        <w:t>ул.</w:t>
      </w:r>
      <w:r>
        <w:t xml:space="preserve"> </w:t>
      </w:r>
      <w:r w:rsidRPr="00FB552B">
        <w:t>Прянишникова, 2А</w:t>
      </w:r>
    </w:p>
    <w:p w14:paraId="291438C8" w14:textId="1CC94684" w:rsidR="000565A1" w:rsidRPr="00E42809" w:rsidRDefault="000565A1" w:rsidP="000565A1">
      <w:pPr>
        <w:pStyle w:val="msonormalcxspmiddle"/>
        <w:spacing w:before="0" w:beforeAutospacing="0" w:after="0" w:afterAutospacing="0"/>
        <w:ind w:firstLine="567"/>
        <w:jc w:val="center"/>
      </w:pPr>
      <w:r w:rsidRPr="00FB552B">
        <w:rPr>
          <w:lang w:val="en-US"/>
        </w:rPr>
        <w:t>e</w:t>
      </w:r>
      <w:r w:rsidRPr="00E42809">
        <w:t>-</w:t>
      </w:r>
      <w:r w:rsidRPr="00FB552B">
        <w:rPr>
          <w:lang w:val="en-US"/>
        </w:rPr>
        <w:t>mail</w:t>
      </w:r>
      <w:r w:rsidRPr="00E42809">
        <w:t xml:space="preserve">: </w:t>
      </w:r>
      <w:hyperlink r:id="rId5" w:history="1">
        <w:r w:rsidR="009B389A" w:rsidRPr="00696562">
          <w:rPr>
            <w:rStyle w:val="ac"/>
            <w:lang w:val="en-US"/>
          </w:rPr>
          <w:t>gotem</w:t>
        </w:r>
        <w:r w:rsidR="009B389A" w:rsidRPr="00E42809">
          <w:rPr>
            <w:rStyle w:val="ac"/>
          </w:rPr>
          <w:t>100017@</w:t>
        </w:r>
        <w:r w:rsidR="009B389A" w:rsidRPr="00696562">
          <w:rPr>
            <w:rStyle w:val="ac"/>
            <w:lang w:val="en-US"/>
          </w:rPr>
          <w:t>gmail</w:t>
        </w:r>
        <w:r w:rsidR="009B389A" w:rsidRPr="00E42809">
          <w:rPr>
            <w:rStyle w:val="ac"/>
          </w:rPr>
          <w:t>.</w:t>
        </w:r>
        <w:r w:rsidR="009B389A" w:rsidRPr="00696562">
          <w:rPr>
            <w:rStyle w:val="ac"/>
            <w:lang w:val="en-US"/>
          </w:rPr>
          <w:t>com</w:t>
        </w:r>
      </w:hyperlink>
    </w:p>
    <w:p w14:paraId="07D322B5" w14:textId="77777777" w:rsidR="000565A1" w:rsidRPr="00E42809" w:rsidRDefault="000565A1" w:rsidP="000565A1">
      <w:pPr>
        <w:spacing w:line="360" w:lineRule="auto"/>
        <w:ind w:right="-81" w:firstLine="567"/>
        <w:jc w:val="both"/>
      </w:pPr>
    </w:p>
    <w:p w14:paraId="2D56AA38" w14:textId="323040D3" w:rsidR="00027198" w:rsidRPr="00E868B4" w:rsidRDefault="007E0663" w:rsidP="00E868B4">
      <w:pPr>
        <w:pStyle w:val="msonormalcxspmiddle"/>
        <w:spacing w:line="360" w:lineRule="auto"/>
        <w:ind w:right="-81" w:firstLine="567"/>
        <w:jc w:val="center"/>
        <w:rPr>
          <w:b/>
          <w:color w:val="000000"/>
          <w:sz w:val="32"/>
          <w:szCs w:val="32"/>
          <w:lang w:val="en"/>
        </w:rPr>
      </w:pPr>
      <w:r w:rsidRPr="00E42809">
        <w:rPr>
          <w:b/>
          <w:color w:val="000000"/>
          <w:sz w:val="32"/>
          <w:szCs w:val="32"/>
          <w:lang w:val="en-US"/>
        </w:rPr>
        <w:br/>
      </w:r>
      <w:r w:rsidR="00E868B4" w:rsidRPr="00E868B4">
        <w:rPr>
          <w:b/>
          <w:color w:val="000000"/>
          <w:sz w:val="32"/>
          <w:szCs w:val="32"/>
          <w:lang w:val="en"/>
        </w:rPr>
        <w:t>Development of a model for identifying suspicious transaction activity in digital asset circulation systems based on graph analysis</w:t>
      </w:r>
    </w:p>
    <w:p w14:paraId="4426A8F6" w14:textId="0430C7D7" w:rsidR="000565A1" w:rsidRPr="00AC1094" w:rsidRDefault="00AC1094" w:rsidP="009B389A">
      <w:pPr>
        <w:pStyle w:val="msonormalcxspmiddle"/>
        <w:numPr>
          <w:ilvl w:val="0"/>
          <w:numId w:val="21"/>
        </w:numPr>
        <w:spacing w:before="0" w:beforeAutospacing="0" w:after="0" w:afterAutospacing="0" w:line="360" w:lineRule="auto"/>
        <w:ind w:right="-81"/>
        <w:jc w:val="center"/>
        <w:rPr>
          <w:i/>
          <w:sz w:val="28"/>
          <w:szCs w:val="32"/>
          <w:lang w:val="en-US"/>
        </w:rPr>
      </w:pPr>
      <w:r>
        <w:rPr>
          <w:i/>
          <w:sz w:val="28"/>
          <w:szCs w:val="32"/>
          <w:lang w:val="en-US"/>
        </w:rPr>
        <w:t>D. Ko</w:t>
      </w:r>
      <w:r w:rsidR="009B389A">
        <w:rPr>
          <w:i/>
          <w:sz w:val="28"/>
          <w:szCs w:val="32"/>
          <w:lang w:val="en-US"/>
        </w:rPr>
        <w:t>sticyn</w:t>
      </w:r>
    </w:p>
    <w:p w14:paraId="1A2CB2FF" w14:textId="2FE75E9D" w:rsidR="000565A1" w:rsidRPr="009B389A" w:rsidRDefault="000565A1" w:rsidP="000565A1">
      <w:pPr>
        <w:ind w:right="-79" w:firstLine="567"/>
        <w:jc w:val="center"/>
        <w:rPr>
          <w:lang w:val="en-US"/>
        </w:rPr>
      </w:pPr>
      <w:r w:rsidRPr="003A15FB">
        <w:rPr>
          <w:lang w:val="en-US"/>
        </w:rPr>
        <w:t>Moscow</w:t>
      </w:r>
      <w:r w:rsidR="007F3375" w:rsidRPr="009B389A">
        <w:rPr>
          <w:lang w:val="en-US"/>
        </w:rPr>
        <w:t xml:space="preserve"> Polytechnic University</w:t>
      </w:r>
    </w:p>
    <w:p w14:paraId="3FDB9B02" w14:textId="77777777" w:rsidR="000565A1" w:rsidRPr="003A15FB" w:rsidRDefault="000565A1" w:rsidP="000565A1">
      <w:pPr>
        <w:ind w:right="-79" w:firstLine="567"/>
        <w:jc w:val="center"/>
        <w:rPr>
          <w:lang w:val="en-US"/>
        </w:rPr>
      </w:pPr>
      <w:r w:rsidRPr="003A15FB">
        <w:rPr>
          <w:lang w:val="en-US"/>
        </w:rPr>
        <w:t>127550, Moscow, st. Pryanishnikova, 2A</w:t>
      </w:r>
    </w:p>
    <w:p w14:paraId="66D6624F" w14:textId="68715410" w:rsidR="000565A1" w:rsidRDefault="000565A1" w:rsidP="000565A1">
      <w:pPr>
        <w:ind w:right="-79" w:firstLine="567"/>
        <w:jc w:val="center"/>
        <w:rPr>
          <w:lang w:val="en-US"/>
        </w:rPr>
      </w:pPr>
      <w:r w:rsidRPr="003A15FB">
        <w:rPr>
          <w:lang w:val="en-US"/>
        </w:rPr>
        <w:t xml:space="preserve">e-mail: </w:t>
      </w:r>
      <w:hyperlink r:id="rId6" w:history="1">
        <w:r w:rsidR="003C1964" w:rsidRPr="00696562">
          <w:rPr>
            <w:rStyle w:val="ac"/>
            <w:lang w:val="en-US"/>
          </w:rPr>
          <w:t>gotem100017</w:t>
        </w:r>
        <w:r w:rsidR="003C1964" w:rsidRPr="00696562">
          <w:rPr>
            <w:rStyle w:val="ac"/>
          </w:rPr>
          <w:t>@</w:t>
        </w:r>
        <w:proofErr w:type="spellStart"/>
        <w:r w:rsidR="003C1964" w:rsidRPr="00696562">
          <w:rPr>
            <w:rStyle w:val="ac"/>
            <w:lang w:val="en-US"/>
          </w:rPr>
          <w:t>gmail</w:t>
        </w:r>
        <w:proofErr w:type="spellEnd"/>
        <w:r w:rsidR="003C1964" w:rsidRPr="00696562">
          <w:rPr>
            <w:rStyle w:val="ac"/>
          </w:rPr>
          <w:t>.</w:t>
        </w:r>
        <w:r w:rsidR="003C1964" w:rsidRPr="00696562">
          <w:rPr>
            <w:rStyle w:val="ac"/>
            <w:lang w:val="en-US"/>
          </w:rPr>
          <w:t>com</w:t>
        </w:r>
      </w:hyperlink>
    </w:p>
    <w:p w14:paraId="49864E96" w14:textId="77777777" w:rsidR="000565A1" w:rsidRPr="00251A72" w:rsidRDefault="000565A1" w:rsidP="00771980">
      <w:pPr>
        <w:spacing w:line="360" w:lineRule="auto"/>
        <w:ind w:right="-81" w:firstLine="709"/>
        <w:jc w:val="both"/>
        <w:rPr>
          <w:b/>
        </w:rPr>
      </w:pPr>
      <w:r w:rsidRPr="00251A72">
        <w:rPr>
          <w:b/>
        </w:rPr>
        <w:t>Аннотация</w:t>
      </w:r>
    </w:p>
    <w:p w14:paraId="00E16ECE" w14:textId="09465985" w:rsidR="00E868B4" w:rsidRDefault="008933DB" w:rsidP="000565A1">
      <w:pPr>
        <w:spacing w:line="360" w:lineRule="auto"/>
        <w:ind w:right="-81" w:firstLine="567"/>
        <w:jc w:val="both"/>
      </w:pPr>
      <w:r w:rsidRPr="008933DB">
        <w:t xml:space="preserve">Объектом данного исследования становится задача раскрытия подозрительной транзакционной активности в системе обращения цифровых активов с помощью применения графового анализа. </w:t>
      </w:r>
      <w:r w:rsidR="00E868B4" w:rsidRPr="00E868B4">
        <w:t xml:space="preserve"> </w:t>
      </w:r>
      <w:r w:rsidRPr="008933DB">
        <w:t>Актуальность исследования связана с увеличением объема транзакций в сетях криптовалют и потребностью в улучшении производительности средств для мониторинга и анализа финансового трафика</w:t>
      </w:r>
      <w:r w:rsidR="00E868B4" w:rsidRPr="00E868B4">
        <w:t xml:space="preserve">. </w:t>
      </w:r>
      <w:r w:rsidRPr="008933DB">
        <w:t>В работе предложен метод моделирования транзакционной сети в виде графа, где вершины отражают участников или адреса сетей, а связи – операции перевода цифровых активов.</w:t>
      </w:r>
      <w:r w:rsidR="00E868B4" w:rsidRPr="00E868B4">
        <w:t xml:space="preserve"> </w:t>
      </w:r>
      <w:r w:rsidRPr="008933DB">
        <w:t xml:space="preserve">Ключевые черты подозрительного поведения рассматриваются, а также приводится характеристика аномальной связанности вершин, большого объема денежных переводов, цикличности денежных маршрутов и аномальных транзакционных </w:t>
      </w:r>
      <w:r w:rsidR="00E868B4" w:rsidRPr="00E868B4">
        <w:t xml:space="preserve">паттерны. </w:t>
      </w:r>
      <w:r w:rsidRPr="008933DB">
        <w:t>Рассмотрены перспективы использования графовых метрик для определения потенциально опасных операционных цепочек</w:t>
      </w:r>
      <w:r w:rsidR="00E868B4" w:rsidRPr="00E868B4">
        <w:t xml:space="preserve">. </w:t>
      </w:r>
      <w:r w:rsidRPr="008933DB">
        <w:t>Практическая ценность работы заключается в возможности использования данного метода при создании систем контроля криптовалютных операций и принятии решений относительно финансовых рисков.</w:t>
      </w:r>
    </w:p>
    <w:p w14:paraId="6FBC7A4F" w14:textId="77777777" w:rsidR="008933DB" w:rsidRPr="008933DB" w:rsidRDefault="008933DB" w:rsidP="000565A1">
      <w:pPr>
        <w:spacing w:line="360" w:lineRule="auto"/>
        <w:ind w:right="-81" w:firstLine="567"/>
        <w:jc w:val="both"/>
      </w:pPr>
    </w:p>
    <w:p w14:paraId="23EAC9EF" w14:textId="77777777" w:rsidR="00E868B4" w:rsidRPr="008933DB" w:rsidRDefault="00E868B4" w:rsidP="000565A1">
      <w:pPr>
        <w:spacing w:line="360" w:lineRule="auto"/>
        <w:ind w:right="-81" w:firstLine="567"/>
        <w:jc w:val="both"/>
      </w:pPr>
    </w:p>
    <w:p w14:paraId="471D4B52" w14:textId="63648FBA" w:rsidR="000565A1" w:rsidRPr="00E868B4" w:rsidRDefault="000565A1" w:rsidP="000565A1">
      <w:pPr>
        <w:spacing w:line="360" w:lineRule="auto"/>
        <w:ind w:right="-81" w:firstLine="567"/>
        <w:jc w:val="both"/>
        <w:rPr>
          <w:b/>
          <w:lang w:val="en-US"/>
        </w:rPr>
      </w:pPr>
      <w:r w:rsidRPr="00251A72">
        <w:rPr>
          <w:b/>
          <w:lang w:val="en-US"/>
        </w:rPr>
        <w:lastRenderedPageBreak/>
        <w:t>Abstract</w:t>
      </w:r>
    </w:p>
    <w:p w14:paraId="626794BA" w14:textId="77777777" w:rsidR="008933DB" w:rsidRPr="00E42809" w:rsidRDefault="008933DB" w:rsidP="003C1964">
      <w:pPr>
        <w:spacing w:line="360" w:lineRule="auto"/>
        <w:ind w:right="-81" w:firstLine="567"/>
        <w:jc w:val="both"/>
        <w:rPr>
          <w:lang w:val="en-US"/>
        </w:rPr>
      </w:pPr>
      <w:r w:rsidRPr="008933DB">
        <w:rPr>
          <w:lang w:val="en-US"/>
        </w:rPr>
        <w:t>This study focuses on identifying suspicious transaction activity in digital asset circulation systems using graph analysis. The relevance of this research is driven by the volume of transactions in cryptocurrency networks and the need to improve the performance of tools for Diptychs and financial traffic analysis. This paper proposes a method for analyzing a transaction network in the form of a graph, where nodes represent network participants or addresses, and connections represent digital asset transfers. Key features of suspicious behavior are examined, along with characteristics of anomalous node connections, large volumes of money transfers, cyclical money routes, and anomalous transaction patterns. The results of using graph metrics to determine the reliability of transaction chain connections are discussed. The practical value of this study lies in the potential application of this method in building cryptocurrency transaction control systems and making decisions regarding financial risks.</w:t>
      </w:r>
    </w:p>
    <w:p w14:paraId="1E48AE98" w14:textId="7B901AF8" w:rsidR="00095E12" w:rsidRPr="008933DB" w:rsidRDefault="003C1964" w:rsidP="003C1964">
      <w:pPr>
        <w:spacing w:line="360" w:lineRule="auto"/>
        <w:ind w:right="-81" w:firstLine="567"/>
        <w:jc w:val="both"/>
        <w:rPr>
          <w:b/>
        </w:rPr>
      </w:pPr>
      <w:r w:rsidRPr="003C1964">
        <w:rPr>
          <w:b/>
        </w:rPr>
        <w:t>Ключевые</w:t>
      </w:r>
      <w:r w:rsidRPr="008933DB">
        <w:rPr>
          <w:b/>
        </w:rPr>
        <w:t xml:space="preserve"> </w:t>
      </w:r>
      <w:r w:rsidRPr="003C1964">
        <w:rPr>
          <w:b/>
        </w:rPr>
        <w:t>слова</w:t>
      </w:r>
      <w:r w:rsidRPr="008933DB">
        <w:rPr>
          <w:b/>
        </w:rPr>
        <w:t xml:space="preserve">: </w:t>
      </w:r>
      <w:r w:rsidR="00095E12" w:rsidRPr="00095E12">
        <w:rPr>
          <w:bCs/>
        </w:rPr>
        <w:t>цифровые</w:t>
      </w:r>
      <w:r w:rsidR="00095E12" w:rsidRPr="008933DB">
        <w:rPr>
          <w:bCs/>
        </w:rPr>
        <w:t xml:space="preserve"> </w:t>
      </w:r>
      <w:r w:rsidR="00095E12" w:rsidRPr="00095E12">
        <w:rPr>
          <w:bCs/>
        </w:rPr>
        <w:t>активы</w:t>
      </w:r>
      <w:r w:rsidR="00095E12" w:rsidRPr="008933DB">
        <w:rPr>
          <w:bCs/>
        </w:rPr>
        <w:t xml:space="preserve">, </w:t>
      </w:r>
      <w:r w:rsidR="00095E12" w:rsidRPr="00095E12">
        <w:rPr>
          <w:bCs/>
        </w:rPr>
        <w:t>криптовалюты</w:t>
      </w:r>
      <w:r w:rsidR="00095E12" w:rsidRPr="008933DB">
        <w:rPr>
          <w:bCs/>
        </w:rPr>
        <w:t xml:space="preserve">, </w:t>
      </w:r>
      <w:r w:rsidR="00095E12" w:rsidRPr="00095E12">
        <w:rPr>
          <w:bCs/>
        </w:rPr>
        <w:t>транзакционная</w:t>
      </w:r>
      <w:r w:rsidR="00095E12" w:rsidRPr="008933DB">
        <w:rPr>
          <w:bCs/>
        </w:rPr>
        <w:t xml:space="preserve"> </w:t>
      </w:r>
      <w:r w:rsidR="00095E12" w:rsidRPr="00095E12">
        <w:rPr>
          <w:bCs/>
        </w:rPr>
        <w:t>активность</w:t>
      </w:r>
      <w:r w:rsidR="00095E12" w:rsidRPr="008933DB">
        <w:rPr>
          <w:bCs/>
        </w:rPr>
        <w:t xml:space="preserve">, </w:t>
      </w:r>
      <w:r w:rsidR="00095E12" w:rsidRPr="00095E12">
        <w:rPr>
          <w:bCs/>
        </w:rPr>
        <w:t>подозрительные</w:t>
      </w:r>
      <w:r w:rsidR="00095E12" w:rsidRPr="008933DB">
        <w:rPr>
          <w:bCs/>
        </w:rPr>
        <w:t xml:space="preserve"> </w:t>
      </w:r>
      <w:r w:rsidR="00095E12" w:rsidRPr="00095E12">
        <w:rPr>
          <w:bCs/>
        </w:rPr>
        <w:t>транзакции</w:t>
      </w:r>
      <w:r w:rsidR="00095E12" w:rsidRPr="008933DB">
        <w:rPr>
          <w:bCs/>
        </w:rPr>
        <w:t xml:space="preserve">, </w:t>
      </w:r>
      <w:r w:rsidR="00095E12" w:rsidRPr="00095E12">
        <w:rPr>
          <w:bCs/>
        </w:rPr>
        <w:t>графовый</w:t>
      </w:r>
      <w:r w:rsidR="00095E12" w:rsidRPr="008933DB">
        <w:rPr>
          <w:bCs/>
        </w:rPr>
        <w:t xml:space="preserve"> </w:t>
      </w:r>
      <w:r w:rsidR="00095E12" w:rsidRPr="00095E12">
        <w:rPr>
          <w:bCs/>
        </w:rPr>
        <w:t>анализ</w:t>
      </w:r>
      <w:r w:rsidR="00095E12" w:rsidRPr="008933DB">
        <w:rPr>
          <w:bCs/>
        </w:rPr>
        <w:t xml:space="preserve">, </w:t>
      </w:r>
      <w:r w:rsidR="00095E12" w:rsidRPr="00095E12">
        <w:rPr>
          <w:bCs/>
        </w:rPr>
        <w:t>анализ</w:t>
      </w:r>
      <w:r w:rsidR="00095E12" w:rsidRPr="008933DB">
        <w:rPr>
          <w:bCs/>
        </w:rPr>
        <w:t xml:space="preserve"> </w:t>
      </w:r>
      <w:r w:rsidR="00095E12" w:rsidRPr="00095E12">
        <w:rPr>
          <w:bCs/>
        </w:rPr>
        <w:t>транзакционных</w:t>
      </w:r>
      <w:r w:rsidR="00095E12" w:rsidRPr="008933DB">
        <w:rPr>
          <w:bCs/>
        </w:rPr>
        <w:t xml:space="preserve"> </w:t>
      </w:r>
      <w:r w:rsidR="00095E12" w:rsidRPr="00095E12">
        <w:rPr>
          <w:bCs/>
        </w:rPr>
        <w:t>сетей</w:t>
      </w:r>
      <w:r w:rsidR="00095E12" w:rsidRPr="008933DB">
        <w:rPr>
          <w:bCs/>
        </w:rPr>
        <w:t xml:space="preserve">, </w:t>
      </w:r>
      <w:r w:rsidR="00095E12" w:rsidRPr="00095E12">
        <w:rPr>
          <w:bCs/>
        </w:rPr>
        <w:t>выявление</w:t>
      </w:r>
      <w:r w:rsidR="00095E12" w:rsidRPr="008933DB">
        <w:rPr>
          <w:bCs/>
        </w:rPr>
        <w:t xml:space="preserve"> </w:t>
      </w:r>
      <w:r w:rsidR="00095E12" w:rsidRPr="00095E12">
        <w:rPr>
          <w:bCs/>
        </w:rPr>
        <w:t>аномалий</w:t>
      </w:r>
      <w:r w:rsidR="00095E12" w:rsidRPr="008933DB">
        <w:rPr>
          <w:bCs/>
        </w:rPr>
        <w:t xml:space="preserve">, </w:t>
      </w:r>
      <w:r w:rsidR="00095E12" w:rsidRPr="00095E12">
        <w:rPr>
          <w:bCs/>
        </w:rPr>
        <w:t>финансовая</w:t>
      </w:r>
      <w:r w:rsidR="00095E12" w:rsidRPr="008933DB">
        <w:rPr>
          <w:bCs/>
        </w:rPr>
        <w:t xml:space="preserve"> </w:t>
      </w:r>
      <w:r w:rsidR="00095E12" w:rsidRPr="00095E12">
        <w:rPr>
          <w:bCs/>
        </w:rPr>
        <w:t>безопасность</w:t>
      </w:r>
      <w:r w:rsidR="00095E12" w:rsidRPr="008933DB">
        <w:rPr>
          <w:bCs/>
        </w:rPr>
        <w:t xml:space="preserve">, </w:t>
      </w:r>
      <w:r w:rsidR="00095E12" w:rsidRPr="00095E12">
        <w:rPr>
          <w:bCs/>
        </w:rPr>
        <w:t>мониторинг</w:t>
      </w:r>
      <w:r w:rsidR="00095E12" w:rsidRPr="008933DB">
        <w:rPr>
          <w:bCs/>
        </w:rPr>
        <w:t xml:space="preserve"> </w:t>
      </w:r>
      <w:r w:rsidR="00095E12" w:rsidRPr="00095E12">
        <w:rPr>
          <w:bCs/>
        </w:rPr>
        <w:t>транзакций</w:t>
      </w:r>
      <w:r w:rsidR="00095E12" w:rsidRPr="008933DB">
        <w:rPr>
          <w:bCs/>
        </w:rPr>
        <w:t xml:space="preserve">, </w:t>
      </w:r>
      <w:r w:rsidR="00095E12" w:rsidRPr="00095E12">
        <w:rPr>
          <w:bCs/>
        </w:rPr>
        <w:t>информационные</w:t>
      </w:r>
      <w:r w:rsidR="00095E12" w:rsidRPr="008933DB">
        <w:rPr>
          <w:bCs/>
        </w:rPr>
        <w:t xml:space="preserve"> </w:t>
      </w:r>
      <w:r w:rsidR="00095E12" w:rsidRPr="00095E12">
        <w:rPr>
          <w:bCs/>
        </w:rPr>
        <w:t>системы</w:t>
      </w:r>
      <w:r w:rsidR="00095E12" w:rsidRPr="008933DB">
        <w:rPr>
          <w:b/>
        </w:rPr>
        <w:t>.</w:t>
      </w:r>
    </w:p>
    <w:p w14:paraId="6B097D45" w14:textId="76AC0604" w:rsidR="003C1964" w:rsidRPr="00095E12" w:rsidRDefault="003C1964" w:rsidP="003C1964">
      <w:pPr>
        <w:spacing w:line="360" w:lineRule="auto"/>
        <w:ind w:right="-81" w:firstLine="567"/>
        <w:jc w:val="both"/>
        <w:rPr>
          <w:b/>
          <w:lang w:val="en-US"/>
        </w:rPr>
      </w:pPr>
      <w:r w:rsidRPr="003C1964">
        <w:rPr>
          <w:b/>
          <w:lang w:val="en-US"/>
        </w:rPr>
        <w:t>Keywords</w:t>
      </w:r>
      <w:r w:rsidRPr="00095E12">
        <w:rPr>
          <w:b/>
          <w:lang w:val="en-US"/>
        </w:rPr>
        <w:t xml:space="preserve">: </w:t>
      </w:r>
      <w:r w:rsidR="00095E12" w:rsidRPr="00095E12">
        <w:rPr>
          <w:bCs/>
          <w:lang w:val="en-US"/>
        </w:rPr>
        <w:t>digital assets, cryptocurrencies, transaction activity, suspicious transactions, graph analysis, transaction network analysis, anomaly detection, financial security, transaction monitoring, information systems.</w:t>
      </w:r>
    </w:p>
    <w:p w14:paraId="6617AAEA" w14:textId="77777777" w:rsidR="003C1964" w:rsidRPr="00095E12" w:rsidRDefault="003C1964" w:rsidP="003C1964">
      <w:pPr>
        <w:spacing w:line="360" w:lineRule="auto"/>
        <w:ind w:right="-81" w:firstLine="567"/>
        <w:jc w:val="both"/>
        <w:rPr>
          <w:b/>
          <w:vanish/>
          <w:lang w:val="en-US"/>
        </w:rPr>
      </w:pPr>
      <w:r w:rsidRPr="003C1964">
        <w:rPr>
          <w:b/>
          <w:vanish/>
        </w:rPr>
        <w:t>Начало</w:t>
      </w:r>
      <w:r w:rsidRPr="00095E12">
        <w:rPr>
          <w:b/>
          <w:vanish/>
          <w:lang w:val="en-US"/>
        </w:rPr>
        <w:t xml:space="preserve"> </w:t>
      </w:r>
      <w:r w:rsidRPr="003C1964">
        <w:rPr>
          <w:b/>
          <w:vanish/>
        </w:rPr>
        <w:t>формы</w:t>
      </w:r>
    </w:p>
    <w:p w14:paraId="3504ADBF" w14:textId="77777777" w:rsidR="003C1964" w:rsidRPr="00095E12" w:rsidRDefault="003C1964" w:rsidP="003C1964">
      <w:pPr>
        <w:spacing w:line="360" w:lineRule="auto"/>
        <w:ind w:right="-81" w:firstLine="567"/>
        <w:jc w:val="both"/>
        <w:rPr>
          <w:b/>
          <w:vanish/>
          <w:lang w:val="en-US"/>
        </w:rPr>
      </w:pPr>
      <w:r w:rsidRPr="003C1964">
        <w:rPr>
          <w:b/>
          <w:vanish/>
        </w:rPr>
        <w:t>Конец</w:t>
      </w:r>
      <w:r w:rsidRPr="00095E12">
        <w:rPr>
          <w:b/>
          <w:vanish/>
          <w:lang w:val="en-US"/>
        </w:rPr>
        <w:t xml:space="preserve"> </w:t>
      </w:r>
      <w:r w:rsidRPr="003C1964">
        <w:rPr>
          <w:b/>
          <w:vanish/>
        </w:rPr>
        <w:t>формы</w:t>
      </w:r>
    </w:p>
    <w:p w14:paraId="6A08104F" w14:textId="77777777" w:rsidR="00DB0A2B" w:rsidRPr="00095E12" w:rsidRDefault="00DB0A2B" w:rsidP="00EF4AC0">
      <w:pPr>
        <w:spacing w:line="360" w:lineRule="auto"/>
        <w:ind w:right="-81" w:firstLine="567"/>
        <w:jc w:val="both"/>
        <w:rPr>
          <w:lang w:val="en-US"/>
        </w:rPr>
      </w:pPr>
    </w:p>
    <w:p w14:paraId="7326DE46" w14:textId="5305EE7E" w:rsidR="00095E12" w:rsidRPr="00095E12" w:rsidRDefault="00A3256B" w:rsidP="00095E12">
      <w:pPr>
        <w:keepNext/>
        <w:spacing w:line="360" w:lineRule="auto"/>
        <w:ind w:firstLine="709"/>
        <w:jc w:val="both"/>
        <w:rPr>
          <w:sz w:val="28"/>
          <w:szCs w:val="28"/>
        </w:rPr>
      </w:pPr>
      <w:r w:rsidRPr="00A3256B">
        <w:rPr>
          <w:sz w:val="28"/>
          <w:szCs w:val="28"/>
        </w:rPr>
        <w:t xml:space="preserve">В условиях стремительного развития цифровой экономики актуализируется проблема создания систем обращения цифровых активов, основанных на технологической базе блокчейна. Криптовалютные платформы и другие виды цифровых активов стали широко применяться благодаря такому принципу их деятельности, как децентрализация, а также высокой скорости совершаемых сделок и возможности проведения трансграничной деятельности без использования привычных финансовых посредников. Тем не менее увеличение области использования цифровых активов сопровождается увеличением числа проведенных операций, усложнением </w:t>
      </w:r>
      <w:r w:rsidR="00095E12" w:rsidRPr="00095E12">
        <w:rPr>
          <w:sz w:val="28"/>
          <w:szCs w:val="28"/>
        </w:rPr>
        <w:t>структуры финансовых потоков и появлением новых рисков, связанных с использованием таких систем в противоправных целях.</w:t>
      </w:r>
    </w:p>
    <w:p w14:paraId="352A2728" w14:textId="04029958" w:rsidR="00095E12" w:rsidRPr="00095E12" w:rsidRDefault="00A3256B" w:rsidP="00095E12">
      <w:pPr>
        <w:keepNext/>
        <w:spacing w:line="360" w:lineRule="auto"/>
        <w:ind w:firstLine="709"/>
        <w:jc w:val="both"/>
        <w:rPr>
          <w:sz w:val="28"/>
          <w:szCs w:val="28"/>
        </w:rPr>
      </w:pPr>
      <w:r w:rsidRPr="00A3256B">
        <w:rPr>
          <w:sz w:val="28"/>
          <w:szCs w:val="28"/>
        </w:rPr>
        <w:t xml:space="preserve">В число таких задач входит и выявление потенциально аномальных транзакций, которые могут иметь отношение к отмыванию денег или закамуфлированному выводу доходов или средств за счет создания фиктивной </w:t>
      </w:r>
      <w:r w:rsidRPr="00A3256B">
        <w:rPr>
          <w:sz w:val="28"/>
          <w:szCs w:val="28"/>
        </w:rPr>
        <w:lastRenderedPageBreak/>
        <w:t>цепочки переводов и других атрибутов необычного поведения участников системы. Однако использование традиционных методов анализа операций в условиях интенсивного развития систем электронной валюты может оказаться менее эффективным в решении данной проблемы. Это требует внедрения современных подходов к анализу данных, учитывающих сложные взаим</w:t>
      </w:r>
      <w:r w:rsidR="00095E12" w:rsidRPr="00095E12">
        <w:rPr>
          <w:sz w:val="28"/>
          <w:szCs w:val="28"/>
        </w:rPr>
        <w:t>освязи между объектами транзакционной среды.</w:t>
      </w:r>
    </w:p>
    <w:p w14:paraId="2D2CE999" w14:textId="22B57E1E" w:rsidR="00095E12" w:rsidRPr="00095E12" w:rsidRDefault="00A3256B" w:rsidP="00095E12">
      <w:pPr>
        <w:keepNext/>
        <w:spacing w:line="360" w:lineRule="auto"/>
        <w:ind w:firstLine="709"/>
        <w:jc w:val="both"/>
        <w:rPr>
          <w:sz w:val="28"/>
          <w:szCs w:val="28"/>
        </w:rPr>
      </w:pPr>
      <w:r w:rsidRPr="00A3256B">
        <w:rPr>
          <w:sz w:val="28"/>
          <w:szCs w:val="28"/>
        </w:rPr>
        <w:t>Преимущественным подходом к решению данной проблемы является использование графового анализа. Графовая модель транзакционной активности обеспечивает формализацию отношений между адресами, кошельками и транзакциями, а также возможность применения математических и алгоритмических подходов для выявления аномальных структур и маршрутов движения цифровых активов. Применение графовых метрик и аналитических подходов к сетям открывает новые перспективы для разработки более эффективных</w:t>
      </w:r>
      <w:r>
        <w:rPr>
          <w:sz w:val="28"/>
          <w:szCs w:val="28"/>
        </w:rPr>
        <w:t xml:space="preserve"> </w:t>
      </w:r>
      <w:r w:rsidR="00095E12" w:rsidRPr="00095E12">
        <w:rPr>
          <w:sz w:val="28"/>
          <w:szCs w:val="28"/>
        </w:rPr>
        <w:t>моделей мониторинга и интерпретации транзакционного поведения.</w:t>
      </w:r>
    </w:p>
    <w:p w14:paraId="3B0097BA" w14:textId="77777777" w:rsidR="00A3256B" w:rsidRPr="00A3256B" w:rsidRDefault="00A3256B" w:rsidP="00A3256B">
      <w:pPr>
        <w:keepNext/>
        <w:spacing w:line="360" w:lineRule="auto"/>
        <w:ind w:firstLine="709"/>
        <w:jc w:val="both"/>
        <w:rPr>
          <w:sz w:val="28"/>
          <w:szCs w:val="28"/>
        </w:rPr>
      </w:pPr>
      <w:r w:rsidRPr="00A3256B">
        <w:rPr>
          <w:sz w:val="28"/>
          <w:szCs w:val="28"/>
        </w:rPr>
        <w:t>Целью данной исследовательской работы является разработка модели распознавания мошенничества при совершении транзакций с использованием теории графов в контексте систем расчетов по цифровым активам. Для достижения поставленной цели будут выполнены следующие задачи: исследование особенностей транзакционных процессов, происходящих в системах расчетов по цифровым активам, определение признаков подозрительного поведения в транзакциях, оценка возможности применения теоретико-графового подхода к анализу транзакционных данных и создание теоретической основы для выявления возможных рискованных транзакционных действий. Практическая значимость данной научной работы заключается в возможности применения результатов в разработке автоматизированных систем информационного мониторинга транзакций с цифровыми активами.</w:t>
      </w:r>
    </w:p>
    <w:p w14:paraId="2F0A51AC" w14:textId="6393DFE1" w:rsidR="00095E12" w:rsidRPr="00095E12" w:rsidRDefault="00095E12" w:rsidP="00095E12">
      <w:pPr>
        <w:keepNext/>
        <w:spacing w:line="360" w:lineRule="auto"/>
        <w:ind w:firstLine="709"/>
        <w:jc w:val="both"/>
        <w:rPr>
          <w:sz w:val="28"/>
          <w:szCs w:val="28"/>
        </w:rPr>
      </w:pPr>
    </w:p>
    <w:p w14:paraId="3D593416" w14:textId="77777777" w:rsidR="00FC013E" w:rsidRDefault="00FC013E" w:rsidP="005E3292">
      <w:pPr>
        <w:pStyle w:val="af2"/>
        <w:spacing w:after="0" w:line="360" w:lineRule="auto"/>
        <w:ind w:firstLine="709"/>
        <w:jc w:val="both"/>
        <w:rPr>
          <w:b/>
          <w:bCs/>
          <w:i w:val="0"/>
          <w:iCs w:val="0"/>
          <w:color w:val="000000"/>
          <w:sz w:val="28"/>
          <w:szCs w:val="28"/>
        </w:rPr>
      </w:pPr>
    </w:p>
    <w:p w14:paraId="265534CE" w14:textId="77777777" w:rsidR="00FC013E" w:rsidRDefault="00FC013E" w:rsidP="005E3292">
      <w:pPr>
        <w:pStyle w:val="af2"/>
        <w:spacing w:after="0" w:line="360" w:lineRule="auto"/>
        <w:ind w:firstLine="709"/>
        <w:jc w:val="both"/>
        <w:rPr>
          <w:b/>
          <w:bCs/>
          <w:i w:val="0"/>
          <w:iCs w:val="0"/>
          <w:color w:val="000000"/>
          <w:sz w:val="28"/>
          <w:szCs w:val="28"/>
        </w:rPr>
      </w:pPr>
    </w:p>
    <w:p w14:paraId="21385725" w14:textId="222FFEF8" w:rsidR="00FC013E" w:rsidRDefault="00FC013E" w:rsidP="00FC013E">
      <w:pPr>
        <w:pStyle w:val="af2"/>
        <w:spacing w:after="0" w:line="360" w:lineRule="auto"/>
        <w:ind w:firstLine="709"/>
        <w:jc w:val="center"/>
        <w:rPr>
          <w:b/>
          <w:bCs/>
          <w:i w:val="0"/>
          <w:iCs w:val="0"/>
          <w:color w:val="000000"/>
          <w:sz w:val="28"/>
          <w:szCs w:val="28"/>
        </w:rPr>
      </w:pPr>
      <w:r w:rsidRPr="00FC013E">
        <w:rPr>
          <w:b/>
          <w:bCs/>
          <w:i w:val="0"/>
          <w:iCs w:val="0"/>
          <w:color w:val="000000"/>
          <w:sz w:val="28"/>
          <w:szCs w:val="28"/>
        </w:rPr>
        <w:t>Анализ предметной области</w:t>
      </w:r>
    </w:p>
    <w:p w14:paraId="4CDF5CA1" w14:textId="7D0DEC1B" w:rsidR="00FC013E" w:rsidRPr="00FC013E" w:rsidRDefault="00A3256B" w:rsidP="00A3256B">
      <w:pPr>
        <w:spacing w:line="360" w:lineRule="auto"/>
        <w:ind w:firstLine="709"/>
        <w:jc w:val="both"/>
        <w:rPr>
          <w:color w:val="000000"/>
          <w:sz w:val="28"/>
          <w:szCs w:val="28"/>
        </w:rPr>
      </w:pPr>
      <w:r w:rsidRPr="00A3256B">
        <w:rPr>
          <w:color w:val="000000"/>
          <w:sz w:val="28"/>
          <w:szCs w:val="28"/>
        </w:rPr>
        <w:t>Цифровые платежные системы, прежде всего публичные сети криптовалют, относятся к распределенным информационным системам, где информация о переводе записывается в блокчейн – невыменяемый регистр. Такой принцип позволяет следить за историей операций, но, с другой стороны, создает проблему анализа данных, так как объем информации о транзакциях постоянно увеличивается, а взаимоотношения между участниками становятся сетевыми [1-4]. В отличие от традиционной банковской системы, где личная и транзакционная информация хранится централизованно, ученые, работающие над блокчейнами, имеют дело с псевдонимами, что затрудняет прямую идентификацию субъектов и вынуждает их применять косвенные аналитические методы.</w:t>
      </w:r>
      <w:r w:rsidR="00FC013E" w:rsidRPr="00FC013E">
        <w:rPr>
          <w:color w:val="000000"/>
          <w:sz w:val="28"/>
          <w:szCs w:val="28"/>
        </w:rPr>
        <w:t xml:space="preserve"> </w:t>
      </w:r>
    </w:p>
    <w:p w14:paraId="1D2B13C9" w14:textId="77777777" w:rsidR="007646AE" w:rsidRPr="007646AE" w:rsidRDefault="007646AE" w:rsidP="007646AE">
      <w:pPr>
        <w:spacing w:line="360" w:lineRule="auto"/>
        <w:ind w:firstLine="709"/>
        <w:jc w:val="both"/>
        <w:rPr>
          <w:color w:val="000000"/>
          <w:sz w:val="28"/>
          <w:szCs w:val="28"/>
        </w:rPr>
      </w:pPr>
      <w:r w:rsidRPr="007646AE">
        <w:rPr>
          <w:color w:val="000000"/>
          <w:sz w:val="28"/>
          <w:szCs w:val="28"/>
        </w:rPr>
        <w:t>Наиболее перспективным направлением исследований в области анализа данных блокчейна является работа с графами. Исследователи, изучающие графы транзакций Bitcoin, установили, что существуют определенные закономерности поведения, которые можно выявить в структуре транзакций, а также в группировке адресов, анализе денежных потоков и необычных формах поведения [2], [3], [6]. Более того, применение графовых моделей оказывается особенно полезным в случаях, когда становится важным учитывать не только одну транзакцию, но и все связанные с ней связи, а также с некоторыми другими операциями, адресами и периодами времени.</w:t>
      </w:r>
    </w:p>
    <w:p w14:paraId="3596C14E" w14:textId="77777777" w:rsidR="007646AE" w:rsidRPr="007646AE" w:rsidRDefault="007646AE" w:rsidP="007646AE">
      <w:pPr>
        <w:spacing w:line="360" w:lineRule="auto"/>
        <w:ind w:firstLine="709"/>
        <w:jc w:val="both"/>
        <w:rPr>
          <w:color w:val="000000"/>
          <w:sz w:val="28"/>
          <w:szCs w:val="28"/>
        </w:rPr>
      </w:pPr>
      <w:r w:rsidRPr="007646AE">
        <w:rPr>
          <w:color w:val="000000"/>
          <w:sz w:val="28"/>
          <w:szCs w:val="28"/>
        </w:rPr>
        <w:t xml:space="preserve">В корпусе научных работ и аналитических ресурсов, посвященных вопросам борьбы с отмыванием денег (AML), можно найти список возможных факторов, указывающих на подозрительную активность в транзакциях. В этот список входят: частые транзакции между ограниченным числом счетов, фрагментация транзакций на множество более мелких транзакций, длинная цепочка посредников, цикличность движения средств, внезапные скачки числа транзакций и контакт с уже известными узлами высокого риска [4], [5], </w:t>
      </w:r>
      <w:r w:rsidRPr="007646AE">
        <w:rPr>
          <w:color w:val="000000"/>
          <w:sz w:val="28"/>
          <w:szCs w:val="28"/>
        </w:rPr>
        <w:lastRenderedPageBreak/>
        <w:t>[11]. В случае криптовалютных сетей следует также отметить, что подозрение в подозрительности возникает из совокупности характеристик всей структуры системы, а не из отдельных транзакций. Поэтому сетевой анализ является не только вспомогательным, но и основным методом исследования подобных явлений.</w:t>
      </w:r>
    </w:p>
    <w:p w14:paraId="2DA0126F" w14:textId="2F3BE87D" w:rsidR="005E3292" w:rsidRPr="005E3292" w:rsidRDefault="007646AE" w:rsidP="007646AE">
      <w:pPr>
        <w:spacing w:line="360" w:lineRule="auto"/>
        <w:ind w:firstLine="709"/>
        <w:jc w:val="both"/>
        <w:rPr>
          <w:color w:val="000000"/>
          <w:sz w:val="28"/>
          <w:szCs w:val="28"/>
        </w:rPr>
      </w:pPr>
      <w:r w:rsidRPr="007646AE">
        <w:rPr>
          <w:color w:val="000000"/>
          <w:sz w:val="28"/>
          <w:szCs w:val="28"/>
        </w:rPr>
        <w:t>Тем не менее следует обратить внимание на то, что в нынешней литературе большее количество исследований связано с открытой технологией блокчейна и в первую очередь с Bitcoin, поскольку она предоставляет ученому достаточно информации [3], [5], [7]. Однако и общий алгоритм графического анализа может быть применен и к другим системам использования цифровых активов при условии наличия истории транзакций, взаимосвязей между счетами и дополнительных параметров, которые можно использовать для описания поведения пользователя сети. Иными словами, в рамках настоящей работы аналоги Bitcoin рассматриваются в качестве базовой модели для создания универсального метода.</w:t>
      </w:r>
    </w:p>
    <w:p w14:paraId="047BADDE" w14:textId="77777777" w:rsidR="00FC013E" w:rsidRDefault="00FC013E" w:rsidP="00FC013E">
      <w:pPr>
        <w:spacing w:line="360" w:lineRule="auto"/>
        <w:ind w:firstLine="709"/>
        <w:jc w:val="center"/>
        <w:rPr>
          <w:b/>
          <w:bCs/>
          <w:color w:val="000000"/>
          <w:sz w:val="28"/>
          <w:szCs w:val="28"/>
        </w:rPr>
      </w:pPr>
      <w:r w:rsidRPr="00FC013E">
        <w:rPr>
          <w:b/>
          <w:bCs/>
          <w:color w:val="000000"/>
          <w:sz w:val="28"/>
          <w:szCs w:val="28"/>
        </w:rPr>
        <w:t>Разработка модели выявления подозрительной транзакционной активности</w:t>
      </w:r>
    </w:p>
    <w:p w14:paraId="5635294B" w14:textId="77777777" w:rsidR="007646AE" w:rsidRPr="007646AE" w:rsidRDefault="007646AE" w:rsidP="007646AE">
      <w:pPr>
        <w:keepNext/>
        <w:spacing w:line="360" w:lineRule="auto"/>
        <w:ind w:firstLine="709"/>
        <w:jc w:val="both"/>
        <w:rPr>
          <w:color w:val="000000"/>
          <w:sz w:val="28"/>
          <w:szCs w:val="28"/>
        </w:rPr>
      </w:pPr>
      <w:r w:rsidRPr="007646AE">
        <w:rPr>
          <w:color w:val="000000"/>
          <w:sz w:val="28"/>
          <w:szCs w:val="28"/>
        </w:rPr>
        <w:t xml:space="preserve">Для исследования транзакционной среды мы рекомендуем использовать ориентированный взвешенный граф G = (V, E), где V — множество вершин, представляющих адреса или группы адресов, а E — множество ребер, символизирующих события перевода цифровой валюты от одного субъекта к другому. Каждому ребру могут быть присвоены несколько параметров, таких как сумма перевода, дата и время транзакции, частота обмена данными, тип валюты, уплаченные комиссии и многое другое. В соответствии с целями исследования, вершины могут обозначать либо отдельные адреса, либо </w:t>
      </w:r>
      <w:r w:rsidRPr="007646AE">
        <w:rPr>
          <w:color w:val="000000"/>
          <w:sz w:val="28"/>
          <w:szCs w:val="28"/>
        </w:rPr>
        <w:lastRenderedPageBreak/>
        <w:t>группы адресов, объединенные на основе некоторых эвристических критериев [6].</w:t>
      </w:r>
    </w:p>
    <w:p w14:paraId="339C7143" w14:textId="77777777" w:rsidR="007646AE" w:rsidRPr="007646AE" w:rsidRDefault="007646AE" w:rsidP="007646AE">
      <w:pPr>
        <w:keepNext/>
        <w:spacing w:line="360" w:lineRule="auto"/>
        <w:ind w:firstLine="709"/>
        <w:jc w:val="both"/>
        <w:rPr>
          <w:color w:val="000000"/>
          <w:sz w:val="28"/>
          <w:szCs w:val="28"/>
        </w:rPr>
      </w:pPr>
      <w:r w:rsidRPr="007646AE">
        <w:rPr>
          <w:color w:val="000000"/>
          <w:sz w:val="28"/>
          <w:szCs w:val="28"/>
        </w:rPr>
        <w:t>Обнаружение подозрительной активности в предлагаемой схеме осуществляется с использованием свойств графа. Среди предлагаемых свойств наибольшую значимость имеют следующие:</w:t>
      </w:r>
    </w:p>
    <w:p w14:paraId="13B1E3B2" w14:textId="4E8424A0" w:rsidR="007646AE" w:rsidRPr="007646AE" w:rsidRDefault="007646AE" w:rsidP="007646AE">
      <w:pPr>
        <w:pStyle w:val="a7"/>
        <w:keepNext/>
        <w:numPr>
          <w:ilvl w:val="0"/>
          <w:numId w:val="30"/>
        </w:numPr>
        <w:spacing w:line="360" w:lineRule="auto"/>
        <w:jc w:val="both"/>
        <w:rPr>
          <w:color w:val="000000"/>
          <w:sz w:val="28"/>
          <w:szCs w:val="28"/>
        </w:rPr>
      </w:pPr>
      <w:r w:rsidRPr="007646AE">
        <w:rPr>
          <w:color w:val="000000"/>
          <w:sz w:val="28"/>
          <w:szCs w:val="28"/>
        </w:rPr>
        <w:t>Степень узла — количество связей, направленных к узлу и от него;</w:t>
      </w:r>
    </w:p>
    <w:p w14:paraId="2A78DAAA" w14:textId="7C09B2E5" w:rsidR="007646AE" w:rsidRPr="007646AE" w:rsidRDefault="007646AE" w:rsidP="007646AE">
      <w:pPr>
        <w:pStyle w:val="a7"/>
        <w:keepNext/>
        <w:numPr>
          <w:ilvl w:val="0"/>
          <w:numId w:val="30"/>
        </w:numPr>
        <w:spacing w:line="360" w:lineRule="auto"/>
        <w:jc w:val="both"/>
        <w:rPr>
          <w:color w:val="000000"/>
          <w:sz w:val="28"/>
          <w:szCs w:val="28"/>
        </w:rPr>
      </w:pPr>
      <w:r w:rsidRPr="007646AE">
        <w:rPr>
          <w:color w:val="000000"/>
          <w:sz w:val="28"/>
          <w:szCs w:val="28"/>
        </w:rPr>
        <w:t>Взвешенная степень — количество транзакций, направленных к узлу и от него;</w:t>
      </w:r>
    </w:p>
    <w:p w14:paraId="79696BAB" w14:textId="2122522F" w:rsidR="007646AE" w:rsidRPr="007646AE" w:rsidRDefault="007646AE" w:rsidP="007646AE">
      <w:pPr>
        <w:pStyle w:val="a7"/>
        <w:keepNext/>
        <w:numPr>
          <w:ilvl w:val="0"/>
          <w:numId w:val="30"/>
        </w:numPr>
        <w:spacing w:line="360" w:lineRule="auto"/>
        <w:jc w:val="both"/>
        <w:rPr>
          <w:color w:val="000000"/>
          <w:sz w:val="28"/>
          <w:szCs w:val="28"/>
        </w:rPr>
      </w:pPr>
      <w:r w:rsidRPr="007646AE">
        <w:rPr>
          <w:color w:val="000000"/>
          <w:sz w:val="28"/>
          <w:szCs w:val="28"/>
        </w:rPr>
        <w:t>Коэффициент транзакционной интенсивности — количество транзакций, совершенных за указанный период;</w:t>
      </w:r>
    </w:p>
    <w:p w14:paraId="304C48D6" w14:textId="3BCA3132" w:rsidR="007646AE" w:rsidRPr="007646AE" w:rsidRDefault="007646AE" w:rsidP="007646AE">
      <w:pPr>
        <w:pStyle w:val="a7"/>
        <w:keepNext/>
        <w:numPr>
          <w:ilvl w:val="0"/>
          <w:numId w:val="30"/>
        </w:numPr>
        <w:spacing w:line="360" w:lineRule="auto"/>
        <w:jc w:val="both"/>
        <w:rPr>
          <w:color w:val="000000"/>
          <w:sz w:val="28"/>
          <w:szCs w:val="28"/>
        </w:rPr>
      </w:pPr>
      <w:r w:rsidRPr="007646AE">
        <w:rPr>
          <w:color w:val="000000"/>
          <w:sz w:val="28"/>
          <w:szCs w:val="28"/>
        </w:rPr>
        <w:t>Центральность брокерства — участие узла в многочисленных путях перевода;</w:t>
      </w:r>
    </w:p>
    <w:p w14:paraId="1677D9F0" w14:textId="26A2E321" w:rsidR="007646AE" w:rsidRPr="007646AE" w:rsidRDefault="007646AE" w:rsidP="007646AE">
      <w:pPr>
        <w:pStyle w:val="a7"/>
        <w:keepNext/>
        <w:numPr>
          <w:ilvl w:val="0"/>
          <w:numId w:val="30"/>
        </w:numPr>
        <w:spacing w:line="360" w:lineRule="auto"/>
        <w:jc w:val="both"/>
        <w:rPr>
          <w:color w:val="000000"/>
          <w:sz w:val="28"/>
          <w:szCs w:val="28"/>
        </w:rPr>
      </w:pPr>
      <w:r w:rsidRPr="007646AE">
        <w:rPr>
          <w:color w:val="000000"/>
          <w:sz w:val="28"/>
          <w:szCs w:val="28"/>
        </w:rPr>
        <w:t>Циклический характер транзакций — поток активов, возвращающийся в подграфическую структуру;</w:t>
      </w:r>
    </w:p>
    <w:p w14:paraId="3E218E9E" w14:textId="025FD243" w:rsidR="007646AE" w:rsidRPr="007646AE" w:rsidRDefault="007646AE" w:rsidP="007646AE">
      <w:pPr>
        <w:pStyle w:val="a7"/>
        <w:keepNext/>
        <w:numPr>
          <w:ilvl w:val="0"/>
          <w:numId w:val="30"/>
        </w:numPr>
        <w:spacing w:line="360" w:lineRule="auto"/>
        <w:jc w:val="both"/>
        <w:rPr>
          <w:color w:val="000000"/>
          <w:sz w:val="28"/>
          <w:szCs w:val="28"/>
        </w:rPr>
      </w:pPr>
      <w:r w:rsidRPr="007646AE">
        <w:rPr>
          <w:color w:val="000000"/>
          <w:sz w:val="28"/>
          <w:szCs w:val="28"/>
        </w:rPr>
        <w:t>Необычная плотность связей между сообществами;</w:t>
      </w:r>
    </w:p>
    <w:p w14:paraId="28690C75" w14:textId="5ACD4289" w:rsidR="007646AE" w:rsidRPr="007646AE" w:rsidRDefault="007646AE" w:rsidP="007646AE">
      <w:pPr>
        <w:pStyle w:val="a7"/>
        <w:keepNext/>
        <w:numPr>
          <w:ilvl w:val="0"/>
          <w:numId w:val="30"/>
        </w:numPr>
        <w:spacing w:line="360" w:lineRule="auto"/>
        <w:jc w:val="both"/>
        <w:rPr>
          <w:color w:val="000000"/>
          <w:sz w:val="28"/>
          <w:szCs w:val="28"/>
        </w:rPr>
      </w:pPr>
      <w:r w:rsidRPr="007646AE">
        <w:rPr>
          <w:color w:val="000000"/>
          <w:sz w:val="28"/>
          <w:szCs w:val="28"/>
        </w:rPr>
        <w:t>Связь с рискованными узлами; и</w:t>
      </w:r>
    </w:p>
    <w:p w14:paraId="610F9BCD" w14:textId="7393A64D" w:rsidR="007646AE" w:rsidRPr="007646AE" w:rsidRDefault="007646AE" w:rsidP="007646AE">
      <w:pPr>
        <w:pStyle w:val="a7"/>
        <w:keepNext/>
        <w:numPr>
          <w:ilvl w:val="0"/>
          <w:numId w:val="30"/>
        </w:numPr>
        <w:spacing w:line="360" w:lineRule="auto"/>
        <w:jc w:val="both"/>
        <w:rPr>
          <w:color w:val="000000"/>
          <w:sz w:val="28"/>
          <w:szCs w:val="28"/>
        </w:rPr>
      </w:pPr>
      <w:r w:rsidRPr="007646AE">
        <w:rPr>
          <w:color w:val="000000"/>
          <w:sz w:val="28"/>
          <w:szCs w:val="28"/>
        </w:rPr>
        <w:t>Необычное временное отклонение от средней активности [4], [5], [9], [10].</w:t>
      </w:r>
    </w:p>
    <w:p w14:paraId="78720C8C" w14:textId="77777777" w:rsidR="00FC013E" w:rsidRPr="00FC013E" w:rsidRDefault="00FC013E" w:rsidP="00FC013E">
      <w:pPr>
        <w:keepNext/>
        <w:spacing w:line="360" w:lineRule="auto"/>
        <w:ind w:firstLine="709"/>
        <w:jc w:val="both"/>
        <w:rPr>
          <w:color w:val="000000"/>
          <w:sz w:val="28"/>
          <w:szCs w:val="28"/>
        </w:rPr>
      </w:pPr>
      <w:r w:rsidRPr="00FC013E">
        <w:rPr>
          <w:color w:val="000000"/>
          <w:sz w:val="28"/>
          <w:szCs w:val="28"/>
        </w:rPr>
        <w:t>На основе указанных признаков может быть сформирован интегральный показатель риска. В общем виде его можно представить следующим образом:</w:t>
      </w:r>
    </w:p>
    <w:p w14:paraId="4A584CDF" w14:textId="04F08EB6" w:rsidR="00FC013E" w:rsidRPr="00FC013E" w:rsidRDefault="00FC013E" w:rsidP="00FC013E">
      <w:pPr>
        <w:keepNext/>
        <w:spacing w:line="360" w:lineRule="auto"/>
        <w:ind w:firstLine="709"/>
        <w:jc w:val="both"/>
        <w:rPr>
          <w:color w:val="000000"/>
          <w:sz w:val="28"/>
          <w:szCs w:val="28"/>
        </w:rPr>
      </w:pPr>
      <m:oMathPara>
        <m:oMath>
          <m:r>
            <w:rPr>
              <w:rFonts w:ascii="Cambria Math" w:hAnsi="Cambria Math"/>
              <w:color w:val="000000"/>
              <w:sz w:val="28"/>
              <w:szCs w:val="28"/>
            </w:rPr>
            <m:t>R(v)=</m:t>
          </m:r>
          <m:nary>
            <m:naryPr>
              <m:chr m:val="∑"/>
              <m:limLoc m:val="undOvr"/>
              <m:grow m:val="1"/>
              <m:ctrlPr>
                <w:rPr>
                  <w:rFonts w:ascii="Cambria Math" w:hAnsi="Cambria Math"/>
                  <w:color w:val="000000"/>
                  <w:sz w:val="28"/>
                  <w:szCs w:val="28"/>
                </w:rPr>
              </m:ctrlPr>
            </m:naryPr>
            <m:sub>
              <m:r>
                <w:rPr>
                  <w:rFonts w:ascii="Cambria Math" w:hAnsi="Cambria Math"/>
                  <w:color w:val="000000"/>
                  <w:sz w:val="28"/>
                  <w:szCs w:val="28"/>
                </w:rPr>
                <m:t>i=1</m:t>
              </m:r>
            </m:sub>
            <m:sup>
              <m:r>
                <w:rPr>
                  <w:rFonts w:ascii="Cambria Math" w:hAnsi="Cambria Math"/>
                  <w:color w:val="000000"/>
                  <w:sz w:val="28"/>
                  <w:szCs w:val="28"/>
                </w:rPr>
                <m:t>n</m:t>
              </m:r>
            </m:sup>
            <m:e>
              <m:sSub>
                <m:sSubPr>
                  <m:ctrlPr>
                    <w:rPr>
                      <w:rFonts w:ascii="Cambria Math" w:hAnsi="Cambria Math"/>
                      <w:color w:val="000000"/>
                      <w:sz w:val="28"/>
                      <w:szCs w:val="28"/>
                    </w:rPr>
                  </m:ctrlPr>
                </m:sSubPr>
                <m:e>
                  <m:r>
                    <w:rPr>
                      <w:rFonts w:ascii="Cambria Math" w:hAnsi="Cambria Math"/>
                      <w:color w:val="000000"/>
                      <w:sz w:val="28"/>
                      <w:szCs w:val="28"/>
                    </w:rPr>
                    <m:t>α</m:t>
                  </m:r>
                </m:e>
                <m:sub>
                  <m:r>
                    <w:rPr>
                      <w:rFonts w:ascii="Cambria Math" w:hAnsi="Cambria Math"/>
                      <w:color w:val="000000"/>
                      <w:sz w:val="28"/>
                      <w:szCs w:val="28"/>
                    </w:rPr>
                    <m:t>i</m:t>
                  </m:r>
                </m:sub>
              </m:sSub>
            </m:e>
          </m:nary>
          <m:r>
            <w:rPr>
              <w:rFonts w:ascii="Cambria Math" w:hAnsi="Cambria Math"/>
              <w:color w:val="000000"/>
              <w:sz w:val="28"/>
              <w:szCs w:val="28"/>
            </w:rPr>
            <m:t>⋅</m:t>
          </m:r>
          <m:acc>
            <m:accPr>
              <m:ctrlPr>
                <w:rPr>
                  <w:rFonts w:ascii="Cambria Math" w:hAnsi="Cambria Math"/>
                  <w:color w:val="000000"/>
                  <w:sz w:val="28"/>
                  <w:szCs w:val="28"/>
                </w:rPr>
              </m:ctrlPr>
            </m:accPr>
            <m:e>
              <m:sSub>
                <m:sSubPr>
                  <m:ctrlPr>
                    <w:rPr>
                      <w:rFonts w:ascii="Cambria Math" w:hAnsi="Cambria Math"/>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i</m:t>
                  </m:r>
                </m:sub>
              </m:sSub>
            </m:e>
          </m:acc>
          <m:r>
            <w:rPr>
              <w:rFonts w:ascii="Cambria Math" w:hAnsi="Cambria Math"/>
              <w:color w:val="000000"/>
              <w:sz w:val="28"/>
              <w:szCs w:val="28"/>
            </w:rPr>
            <m:t>(v),</m:t>
          </m:r>
          <m:r>
            <m:rPr>
              <m:sty m:val="p"/>
            </m:rPr>
            <w:rPr>
              <w:color w:val="000000"/>
              <w:sz w:val="28"/>
              <w:szCs w:val="28"/>
            </w:rPr>
            <w:br/>
          </m:r>
        </m:oMath>
      </m:oMathPara>
    </w:p>
    <w:p w14:paraId="3889E426" w14:textId="73FEC52E" w:rsidR="00FC013E" w:rsidRPr="00FC013E" w:rsidRDefault="00FC013E" w:rsidP="00FC013E">
      <w:pPr>
        <w:keepNext/>
        <w:spacing w:line="360" w:lineRule="auto"/>
        <w:ind w:firstLine="709"/>
        <w:jc w:val="both"/>
        <w:rPr>
          <w:color w:val="000000"/>
          <w:sz w:val="28"/>
          <w:szCs w:val="28"/>
        </w:rPr>
      </w:pPr>
      <w:r w:rsidRPr="00FC013E">
        <w:rPr>
          <w:color w:val="000000"/>
          <w:sz w:val="28"/>
          <w:szCs w:val="28"/>
        </w:rPr>
        <w:t xml:space="preserve">где </w:t>
      </w:r>
      <m:oMath>
        <m:r>
          <w:rPr>
            <w:rFonts w:ascii="Cambria Math" w:hAnsi="Cambria Math"/>
            <w:color w:val="000000"/>
            <w:sz w:val="28"/>
            <w:szCs w:val="28"/>
          </w:rPr>
          <m:t>R(v)</m:t>
        </m:r>
      </m:oMath>
      <w:r w:rsidRPr="00FC013E">
        <w:rPr>
          <w:color w:val="000000"/>
          <w:sz w:val="28"/>
          <w:szCs w:val="28"/>
        </w:rPr>
        <w:t xml:space="preserve">— уровень риска вершины </w:t>
      </w:r>
      <m:oMath>
        <m:r>
          <w:rPr>
            <w:rFonts w:ascii="Cambria Math" w:hAnsi="Cambria Math"/>
            <w:color w:val="000000"/>
            <w:sz w:val="28"/>
            <w:szCs w:val="28"/>
          </w:rPr>
          <m:t>v</m:t>
        </m:r>
      </m:oMath>
      <w:r w:rsidRPr="00FC013E">
        <w:rPr>
          <w:color w:val="000000"/>
          <w:sz w:val="28"/>
          <w:szCs w:val="28"/>
        </w:rPr>
        <w:t xml:space="preserve">, </w:t>
      </w:r>
      <m:oMath>
        <m:acc>
          <m:accPr>
            <m:ctrlPr>
              <w:rPr>
                <w:rFonts w:ascii="Cambria Math" w:hAnsi="Cambria Math"/>
                <w:color w:val="000000"/>
                <w:sz w:val="28"/>
                <w:szCs w:val="28"/>
              </w:rPr>
            </m:ctrlPr>
          </m:accPr>
          <m:e>
            <m:sSub>
              <m:sSubPr>
                <m:ctrlPr>
                  <w:rPr>
                    <w:rFonts w:ascii="Cambria Math" w:hAnsi="Cambria Math"/>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i</m:t>
                </m:r>
              </m:sub>
            </m:sSub>
          </m:e>
        </m:acc>
        <m:r>
          <w:rPr>
            <w:rFonts w:ascii="Cambria Math" w:hAnsi="Cambria Math"/>
            <w:color w:val="000000"/>
            <w:sz w:val="28"/>
            <w:szCs w:val="28"/>
          </w:rPr>
          <m:t>(v)</m:t>
        </m:r>
      </m:oMath>
      <w:r w:rsidRPr="00FC013E">
        <w:rPr>
          <w:color w:val="000000"/>
          <w:sz w:val="28"/>
          <w:szCs w:val="28"/>
        </w:rPr>
        <w:t xml:space="preserve">— нормированное значение </w:t>
      </w:r>
      <m:oMath>
        <m:r>
          <w:rPr>
            <w:rFonts w:ascii="Cambria Math" w:hAnsi="Cambria Math"/>
            <w:color w:val="000000"/>
            <w:sz w:val="28"/>
            <w:szCs w:val="28"/>
          </w:rPr>
          <m:t>i</m:t>
        </m:r>
      </m:oMath>
      <w:r w:rsidRPr="00FC013E">
        <w:rPr>
          <w:color w:val="000000"/>
          <w:sz w:val="28"/>
          <w:szCs w:val="28"/>
        </w:rPr>
        <w:t xml:space="preserve">-го признака, </w:t>
      </w:r>
      <m:oMath>
        <m:sSub>
          <m:sSubPr>
            <m:ctrlPr>
              <w:rPr>
                <w:rFonts w:ascii="Cambria Math" w:hAnsi="Cambria Math"/>
                <w:color w:val="000000"/>
                <w:sz w:val="28"/>
                <w:szCs w:val="28"/>
              </w:rPr>
            </m:ctrlPr>
          </m:sSubPr>
          <m:e>
            <m:r>
              <w:rPr>
                <w:rFonts w:ascii="Cambria Math" w:hAnsi="Cambria Math"/>
                <w:color w:val="000000"/>
                <w:sz w:val="28"/>
                <w:szCs w:val="28"/>
              </w:rPr>
              <m:t>α</m:t>
            </m:r>
          </m:e>
          <m:sub>
            <m:r>
              <w:rPr>
                <w:rFonts w:ascii="Cambria Math" w:hAnsi="Cambria Math"/>
                <w:color w:val="000000"/>
                <w:sz w:val="28"/>
                <w:szCs w:val="28"/>
              </w:rPr>
              <m:t>i</m:t>
            </m:r>
          </m:sub>
        </m:sSub>
      </m:oMath>
      <w:r w:rsidRPr="00FC013E">
        <w:rPr>
          <w:color w:val="000000"/>
          <w:sz w:val="28"/>
          <w:szCs w:val="28"/>
        </w:rPr>
        <w:t xml:space="preserve">— весовой коэффициент признака, отражающий его значимость, </w:t>
      </w:r>
      <m:oMath>
        <m:r>
          <w:rPr>
            <w:rFonts w:ascii="Cambria Math" w:hAnsi="Cambria Math"/>
            <w:color w:val="000000"/>
            <w:sz w:val="28"/>
            <w:szCs w:val="28"/>
          </w:rPr>
          <m:t>n</m:t>
        </m:r>
      </m:oMath>
      <w:r w:rsidRPr="00FC013E">
        <w:rPr>
          <w:color w:val="000000"/>
          <w:sz w:val="28"/>
          <w:szCs w:val="28"/>
        </w:rPr>
        <w:t xml:space="preserve">— число используемых признаков. Если значение </w:t>
      </w:r>
      <m:oMath>
        <m:r>
          <w:rPr>
            <w:rFonts w:ascii="Cambria Math" w:hAnsi="Cambria Math"/>
            <w:color w:val="000000"/>
            <w:sz w:val="28"/>
            <w:szCs w:val="28"/>
          </w:rPr>
          <m:t>R(v)</m:t>
        </m:r>
      </m:oMath>
      <w:r w:rsidRPr="00FC013E">
        <w:rPr>
          <w:color w:val="000000"/>
          <w:sz w:val="28"/>
          <w:szCs w:val="28"/>
        </w:rPr>
        <w:t xml:space="preserve">превышает установленный порог, узел может быть отнесён к категории потенциально подозрительных. Аналогичный показатель может быть рассчитан и для отдельных транзакций, что позволяет проводить </w:t>
      </w:r>
      <w:r w:rsidRPr="00FC013E">
        <w:rPr>
          <w:color w:val="000000"/>
          <w:sz w:val="28"/>
          <w:szCs w:val="28"/>
        </w:rPr>
        <w:lastRenderedPageBreak/>
        <w:t xml:space="preserve">двухуровневый анализ: на уровне операций и на уровне участников сети. Такая формализация соответствует современным подходам, в которых графовые характеристики используются совместно с методами машинного обучения и системами ранжирования риска [5], [9], [10]. </w:t>
      </w:r>
    </w:p>
    <w:p w14:paraId="2CE2BF68" w14:textId="77777777" w:rsidR="007646AE" w:rsidRPr="007646AE" w:rsidRDefault="007646AE" w:rsidP="007646AE">
      <w:pPr>
        <w:keepNext/>
        <w:spacing w:line="360" w:lineRule="auto"/>
        <w:ind w:firstLine="709"/>
        <w:jc w:val="both"/>
        <w:rPr>
          <w:color w:val="000000"/>
          <w:sz w:val="28"/>
          <w:szCs w:val="28"/>
        </w:rPr>
      </w:pPr>
      <w:r w:rsidRPr="007646AE">
        <w:rPr>
          <w:color w:val="000000"/>
          <w:sz w:val="28"/>
          <w:szCs w:val="28"/>
        </w:rPr>
        <w:t>Предложенный подход состоит из нескольких последовательных шагов. На первом шаге осуществляется сбор и предварительная обработка данных транзакций; это включает удаление дубликатов, корректировку временных меток, извлечение атрибутов и формирование структуры графа. На втором шаге выполняется кластеризация адресов, а также формирование подграфа транзакций. На третьем шаге проводится вычисление как локальных, так и глобальных метрик графа. На четвертом шаге разрабатывается оценка риска для узлов и транзакций. На пятом шаге выполняется ранжирование результатов, и объекты с наибольшим риском отбираются для дальнейшего исследования системным оператором или модулем управления. Вышеописанный подход соответствует современным подходам к проектированию аналитических платформ блокчейна и систем AML [7], [8].</w:t>
      </w:r>
    </w:p>
    <w:p w14:paraId="7DD73D39" w14:textId="13389C04" w:rsidR="00FC013E" w:rsidRPr="00FC013E" w:rsidRDefault="007646AE" w:rsidP="00FC013E">
      <w:pPr>
        <w:keepNext/>
        <w:spacing w:line="360" w:lineRule="auto"/>
        <w:ind w:firstLine="709"/>
        <w:jc w:val="both"/>
        <w:rPr>
          <w:color w:val="000000"/>
          <w:sz w:val="28"/>
          <w:szCs w:val="28"/>
        </w:rPr>
      </w:pPr>
      <w:r w:rsidRPr="007646AE">
        <w:rPr>
          <w:color w:val="000000"/>
          <w:sz w:val="28"/>
          <w:szCs w:val="28"/>
        </w:rPr>
        <w:t xml:space="preserve">Одним из преимуществ данной модели является возможность учета не только характеристик конкретной транзакции, но и её места в контексте всей системы передвижения средств. Особенно важно это для тех случаев, когда подозрительная транзакция скрывается за сериями других транзакций, кажущихся на первый взгляд обычными. Графический анализ позволяет определить скрытые взаимосвязи между адресами, повторяющиеся схемы движения денег и непохожие на обычное пути их следования, которые сложно выявить путем таблицы. Помимо этого, данную модель можно развивать за счет использования временных графов, графических </w:t>
      </w:r>
      <w:r w:rsidR="00FC013E" w:rsidRPr="00FC013E">
        <w:rPr>
          <w:color w:val="000000"/>
          <w:sz w:val="28"/>
          <w:szCs w:val="28"/>
        </w:rPr>
        <w:t>нейронных сетей и механизмов активного обучения [5], [9], [10].</w:t>
      </w:r>
    </w:p>
    <w:p w14:paraId="20F8E09B" w14:textId="77777777" w:rsidR="00FC013E" w:rsidRPr="00FC013E" w:rsidRDefault="00FC013E" w:rsidP="005E3292">
      <w:pPr>
        <w:keepNext/>
        <w:spacing w:line="360" w:lineRule="auto"/>
        <w:ind w:firstLine="709"/>
        <w:jc w:val="both"/>
        <w:rPr>
          <w:b/>
          <w:bCs/>
          <w:color w:val="000000"/>
          <w:sz w:val="28"/>
          <w:szCs w:val="28"/>
        </w:rPr>
      </w:pPr>
      <w:r w:rsidRPr="00FC013E">
        <w:rPr>
          <w:b/>
          <w:bCs/>
          <w:color w:val="000000"/>
          <w:sz w:val="28"/>
          <w:szCs w:val="28"/>
        </w:rPr>
        <w:t>Практическая значимость предложенного подхода</w:t>
      </w:r>
    </w:p>
    <w:p w14:paraId="281BE9E0" w14:textId="66F25603" w:rsidR="00FC013E" w:rsidRPr="00FC013E" w:rsidRDefault="007646AE" w:rsidP="00FC013E">
      <w:pPr>
        <w:spacing w:line="360" w:lineRule="auto"/>
        <w:ind w:firstLine="709"/>
        <w:jc w:val="both"/>
        <w:rPr>
          <w:color w:val="000000"/>
          <w:sz w:val="28"/>
          <w:szCs w:val="28"/>
        </w:rPr>
      </w:pPr>
      <w:r w:rsidRPr="007646AE">
        <w:rPr>
          <w:color w:val="000000"/>
          <w:sz w:val="28"/>
          <w:szCs w:val="28"/>
        </w:rPr>
        <w:t xml:space="preserve">Значимость предлагаемой модели проявляется в её возможности использования при создании информационных систем контроля транзакций цифровых активов. Эту модель можно применять на криптовалютных биржах, </w:t>
      </w:r>
      <w:r w:rsidRPr="007646AE">
        <w:rPr>
          <w:color w:val="000000"/>
          <w:sz w:val="28"/>
          <w:szCs w:val="28"/>
        </w:rPr>
        <w:lastRenderedPageBreak/>
        <w:t xml:space="preserve">аналитических центрах, отделах комплаенса, лабораториях исследования, а также на предприятиях по анализу рисков осуществления финансовых операций. На основе модели может быть разработан программный модуль для автоматического обнаружения сомнительных </w:t>
      </w:r>
      <w:r w:rsidR="00FC013E" w:rsidRPr="00FC013E">
        <w:rPr>
          <w:color w:val="000000"/>
          <w:sz w:val="28"/>
          <w:szCs w:val="28"/>
        </w:rPr>
        <w:t xml:space="preserve">узлов, визуализацию цепочек переводов и формирование сигналов для последующей экспертной проверки [7], [8]. </w:t>
      </w:r>
    </w:p>
    <w:p w14:paraId="4FC1519C" w14:textId="77777777" w:rsidR="007646AE" w:rsidRPr="007646AE" w:rsidRDefault="007646AE" w:rsidP="007646AE">
      <w:pPr>
        <w:spacing w:line="360" w:lineRule="auto"/>
        <w:ind w:firstLine="709"/>
        <w:jc w:val="both"/>
        <w:rPr>
          <w:color w:val="000000"/>
          <w:sz w:val="28"/>
          <w:szCs w:val="28"/>
        </w:rPr>
      </w:pPr>
      <w:r w:rsidRPr="007646AE">
        <w:rPr>
          <w:color w:val="000000"/>
          <w:sz w:val="28"/>
          <w:szCs w:val="28"/>
        </w:rPr>
        <w:t>Еще одно преимущество связано с возможностью интеграции этой модели с другим программным обеспечением, используемым в анализе больших данных и машинном обучении. В частности, использование графовой модели позволяет применять эту модель как в традиционных подходах с пороговыми значениями правил, так и в продвинутых подходах к анализу данных. Такие особенности создают необходимые условия для построения гибридных моделей, в которых ясность интерпретации метрик графа будет сочетаться с высокой точностью алгоритмов классификации [5], [9], [10]. На практике такой подход может помочь повысить эффективность первоначального мониторинга и снизить нагрузку на экспертов при ранжировании уровня риска объектов.</w:t>
      </w:r>
    </w:p>
    <w:p w14:paraId="4F6E7EB8" w14:textId="5D003C46" w:rsidR="007646AE" w:rsidRPr="00FC013E" w:rsidRDefault="007646AE" w:rsidP="007646AE">
      <w:pPr>
        <w:spacing w:line="360" w:lineRule="auto"/>
        <w:ind w:firstLine="709"/>
        <w:jc w:val="both"/>
        <w:rPr>
          <w:color w:val="000000"/>
          <w:sz w:val="28"/>
          <w:szCs w:val="28"/>
        </w:rPr>
      </w:pPr>
      <w:r w:rsidRPr="007646AE">
        <w:rPr>
          <w:color w:val="000000"/>
          <w:sz w:val="28"/>
          <w:szCs w:val="28"/>
        </w:rPr>
        <w:t>Рассмотренные ограничения модели следует учитывать при её использовании. Сначала нужно сказать, что качество и достоверность процесса определения подозрительного поведения напрямую зависят от полноты и качества источника данных. Вторым ограничением может стать использование только ончейн-признаков, которые не всегда могут дать однозначное объяснение причин поведения участников системы. Наконец, улучшение приложений, учитывающих конфиденциальность, приводит к снижению точности кластеризации адресов и затрудняет анализ взаимосвязей. Поэтому в реальности рекомендуется использовать метод на основе графов в сочетании с информацией из других источников [4], [6], [11].</w:t>
      </w:r>
    </w:p>
    <w:p w14:paraId="66B1CA6C" w14:textId="55CEB20D" w:rsidR="00B56569" w:rsidRDefault="00B56569" w:rsidP="00B56569">
      <w:pPr>
        <w:spacing w:line="360" w:lineRule="auto"/>
        <w:jc w:val="center"/>
        <w:rPr>
          <w:b/>
          <w:bCs/>
          <w:color w:val="000000"/>
          <w:sz w:val="28"/>
          <w:szCs w:val="28"/>
        </w:rPr>
      </w:pPr>
      <w:r>
        <w:rPr>
          <w:b/>
          <w:bCs/>
          <w:color w:val="000000"/>
          <w:sz w:val="28"/>
          <w:szCs w:val="28"/>
        </w:rPr>
        <w:t>Заключение</w:t>
      </w:r>
    </w:p>
    <w:p w14:paraId="6DA49955" w14:textId="2A8A7FA5" w:rsidR="00FC013E" w:rsidRPr="00FC013E" w:rsidRDefault="007646AE" w:rsidP="00FC013E">
      <w:pPr>
        <w:spacing w:line="360" w:lineRule="auto"/>
        <w:ind w:firstLine="709"/>
        <w:jc w:val="both"/>
        <w:rPr>
          <w:color w:val="000000"/>
          <w:sz w:val="28"/>
          <w:szCs w:val="28"/>
        </w:rPr>
      </w:pPr>
      <w:r w:rsidRPr="007646AE">
        <w:rPr>
          <w:color w:val="000000"/>
          <w:sz w:val="28"/>
          <w:szCs w:val="28"/>
        </w:rPr>
        <w:t xml:space="preserve">На основе проведенного исследования были изучены особенности транзакционной деятельности в системе обращения цифровых активов, а </w:t>
      </w:r>
      <w:r w:rsidRPr="007646AE">
        <w:rPr>
          <w:color w:val="000000"/>
          <w:sz w:val="28"/>
          <w:szCs w:val="28"/>
        </w:rPr>
        <w:lastRenderedPageBreak/>
        <w:t>также показана целесообразность использования метода графового анализа для выявления сомнительных транзакций</w:t>
      </w:r>
      <w:r w:rsidR="00FC013E" w:rsidRPr="00FC013E">
        <w:rPr>
          <w:color w:val="000000"/>
          <w:sz w:val="28"/>
          <w:szCs w:val="28"/>
        </w:rPr>
        <w:t xml:space="preserve">. </w:t>
      </w:r>
      <w:r w:rsidRPr="007646AE">
        <w:rPr>
          <w:color w:val="000000"/>
          <w:sz w:val="28"/>
          <w:szCs w:val="28"/>
        </w:rPr>
        <w:t>На основании проведенного исследования исследованы специфика транзакционной деятельности в системе обращения цифровых активов, а также подтверждена обоснованность применения метода графового анализа для определения подозрительных транзакций.</w:t>
      </w:r>
    </w:p>
    <w:p w14:paraId="5E9B420C" w14:textId="33F2ED53" w:rsidR="00FC013E" w:rsidRPr="00FC013E" w:rsidRDefault="007646AE" w:rsidP="00FC013E">
      <w:pPr>
        <w:spacing w:line="360" w:lineRule="auto"/>
        <w:ind w:firstLine="709"/>
        <w:jc w:val="both"/>
        <w:rPr>
          <w:color w:val="000000"/>
          <w:sz w:val="28"/>
          <w:szCs w:val="28"/>
        </w:rPr>
      </w:pPr>
      <w:r w:rsidRPr="007646AE">
        <w:rPr>
          <w:color w:val="000000"/>
          <w:sz w:val="28"/>
          <w:szCs w:val="28"/>
        </w:rPr>
        <w:t>Результаты, полученные в ходе исследований, свидетельствуют о том, что использование графового анализа является эффективным методом создания информационных систем контроля за цифровыми активами</w:t>
      </w:r>
      <w:r w:rsidR="00FC013E" w:rsidRPr="00FC013E">
        <w:rPr>
          <w:color w:val="000000"/>
          <w:sz w:val="28"/>
          <w:szCs w:val="28"/>
        </w:rPr>
        <w:t xml:space="preserve">. </w:t>
      </w:r>
      <w:r w:rsidRPr="007646AE">
        <w:rPr>
          <w:color w:val="000000"/>
          <w:sz w:val="28"/>
          <w:szCs w:val="28"/>
        </w:rPr>
        <w:t>Обсужденный подход может быть использован как фундамент для создания практических систем, связанных с обеспечением финансовой безопасности, комплаенсом и анализом транзакций блокчейна.</w:t>
      </w:r>
      <w:r w:rsidR="00FC013E" w:rsidRPr="00FC013E">
        <w:rPr>
          <w:color w:val="000000"/>
          <w:sz w:val="28"/>
          <w:szCs w:val="28"/>
        </w:rPr>
        <w:t xml:space="preserve"> </w:t>
      </w:r>
      <w:r w:rsidRPr="007646AE">
        <w:rPr>
          <w:color w:val="000000"/>
          <w:sz w:val="28"/>
          <w:szCs w:val="28"/>
        </w:rPr>
        <w:t>Сферой дальнейших исследований будут являться расширение базового набора характеристик, использование динамических графов, применение подходов машинного обучения, а также модификация модели для различных видов</w:t>
      </w:r>
      <w:r>
        <w:rPr>
          <w:color w:val="000000"/>
          <w:sz w:val="28"/>
          <w:szCs w:val="28"/>
        </w:rPr>
        <w:t xml:space="preserve"> </w:t>
      </w:r>
      <w:r w:rsidR="00FC013E" w:rsidRPr="00FC013E">
        <w:rPr>
          <w:color w:val="000000"/>
          <w:sz w:val="28"/>
          <w:szCs w:val="28"/>
        </w:rPr>
        <w:t>цифровых активов и блокчейн-платформ [5], [9], [10].</w:t>
      </w:r>
    </w:p>
    <w:p w14:paraId="7AC1D855" w14:textId="77CC2496" w:rsidR="005E3292" w:rsidRPr="005E3292" w:rsidRDefault="005E3292" w:rsidP="005E3292">
      <w:pPr>
        <w:spacing w:line="360" w:lineRule="auto"/>
        <w:ind w:firstLine="709"/>
        <w:jc w:val="both"/>
        <w:rPr>
          <w:color w:val="000000"/>
          <w:sz w:val="28"/>
          <w:szCs w:val="28"/>
        </w:rPr>
      </w:pPr>
    </w:p>
    <w:p w14:paraId="03FB42A6" w14:textId="77777777" w:rsidR="00E42809" w:rsidRPr="00A30E93" w:rsidRDefault="00E42809" w:rsidP="00E42809">
      <w:pPr>
        <w:pStyle w:val="af3"/>
        <w:spacing w:before="0" w:after="0" w:line="360" w:lineRule="auto"/>
        <w:rPr>
          <w:rFonts w:eastAsia="Times New Roman"/>
          <w:b/>
          <w:i w:val="0"/>
          <w:iCs/>
          <w:sz w:val="28"/>
          <w:szCs w:val="28"/>
          <w:lang w:eastAsia="ru-RU"/>
        </w:rPr>
      </w:pPr>
    </w:p>
    <w:p w14:paraId="59388563" w14:textId="60AD77E6" w:rsidR="00E42809" w:rsidRDefault="00E42809" w:rsidP="00E42809">
      <w:pPr>
        <w:pStyle w:val="af3"/>
        <w:spacing w:before="0" w:after="0" w:line="360" w:lineRule="auto"/>
        <w:jc w:val="center"/>
        <w:rPr>
          <w:rFonts w:eastAsia="Times New Roman"/>
          <w:b/>
          <w:i w:val="0"/>
          <w:iCs/>
          <w:sz w:val="28"/>
          <w:szCs w:val="28"/>
          <w:lang w:eastAsia="ru-RU"/>
        </w:rPr>
      </w:pPr>
      <w:r w:rsidRPr="00A30E93">
        <w:rPr>
          <w:rFonts w:eastAsia="Times New Roman"/>
          <w:b/>
          <w:i w:val="0"/>
          <w:iCs/>
          <w:sz w:val="28"/>
          <w:szCs w:val="28"/>
          <w:lang w:eastAsia="ru-RU"/>
        </w:rPr>
        <w:t>Список литературы</w:t>
      </w:r>
    </w:p>
    <w:p w14:paraId="45F28FEE" w14:textId="77777777" w:rsidR="00E42809" w:rsidRPr="00E42809" w:rsidRDefault="00E42809" w:rsidP="00E42809">
      <w:pPr>
        <w:pStyle w:val="af3"/>
        <w:numPr>
          <w:ilvl w:val="0"/>
          <w:numId w:val="31"/>
        </w:numPr>
        <w:spacing w:before="0" w:after="0" w:line="360" w:lineRule="auto"/>
        <w:ind w:left="567" w:hanging="567"/>
        <w:rPr>
          <w:rFonts w:eastAsia="Times New Roman"/>
          <w:bCs w:val="0"/>
          <w:i w:val="0"/>
          <w:iCs/>
          <w:sz w:val="28"/>
          <w:szCs w:val="28"/>
          <w:lang w:val="en-US" w:eastAsia="ru-RU"/>
        </w:rPr>
      </w:pPr>
      <w:r w:rsidRPr="00E42809">
        <w:rPr>
          <w:rFonts w:eastAsia="Times New Roman"/>
          <w:bCs w:val="0"/>
          <w:i w:val="0"/>
          <w:iCs/>
          <w:sz w:val="28"/>
          <w:szCs w:val="28"/>
          <w:lang w:eastAsia="ru-RU"/>
        </w:rPr>
        <w:t xml:space="preserve">Nakamoto S. Bitcoin: A Peer-to-Peer Electronic Cash System [Биткоин: одноранговая система электронной наличности] / С. Накамото. 2008. URL: </w:t>
      </w:r>
      <w:hyperlink r:id="rId7" w:tgtFrame="_new" w:history="1">
        <w:r w:rsidRPr="00E42809">
          <w:rPr>
            <w:rStyle w:val="ac"/>
            <w:rFonts w:eastAsia="Times New Roman"/>
            <w:bCs w:val="0"/>
            <w:i w:val="0"/>
            <w:iCs/>
            <w:sz w:val="28"/>
            <w:szCs w:val="28"/>
            <w:lang w:eastAsia="ru-RU"/>
          </w:rPr>
          <w:t>https://bitcoin.org/bitcoin.pdf</w:t>
        </w:r>
      </w:hyperlink>
      <w:r w:rsidRPr="00E42809">
        <w:rPr>
          <w:rFonts w:eastAsia="Times New Roman"/>
          <w:bCs w:val="0"/>
          <w:i w:val="0"/>
          <w:iCs/>
          <w:sz w:val="28"/>
          <w:szCs w:val="28"/>
          <w:lang w:eastAsia="ru-RU"/>
        </w:rPr>
        <w:t xml:space="preserve"> (дата обращения: 10.04.2026)</w:t>
      </w:r>
    </w:p>
    <w:p w14:paraId="5A7506B7" w14:textId="77777777" w:rsidR="00E42809" w:rsidRPr="00E42809"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val="en-US" w:eastAsia="ru-RU"/>
        </w:rPr>
        <w:t>Ron D. Quantitative Analysis of the Full Bitcoin Transaction Graph [</w:t>
      </w:r>
      <w:r w:rsidRPr="00E42809">
        <w:rPr>
          <w:rFonts w:eastAsia="Times New Roman"/>
          <w:bCs w:val="0"/>
          <w:i w:val="0"/>
          <w:iCs/>
          <w:sz w:val="28"/>
          <w:szCs w:val="28"/>
          <w:lang w:eastAsia="ru-RU"/>
        </w:rPr>
        <w:t>Количественный</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анализ</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полного</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графа</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транзакций</w:t>
      </w:r>
      <w:r w:rsidRPr="00E42809">
        <w:rPr>
          <w:rFonts w:eastAsia="Times New Roman"/>
          <w:bCs w:val="0"/>
          <w:i w:val="0"/>
          <w:iCs/>
          <w:sz w:val="28"/>
          <w:szCs w:val="28"/>
          <w:lang w:val="en-US" w:eastAsia="ru-RU"/>
        </w:rPr>
        <w:t xml:space="preserve"> Bitcoin] / </w:t>
      </w:r>
      <w:r w:rsidRPr="00E42809">
        <w:rPr>
          <w:rFonts w:eastAsia="Times New Roman"/>
          <w:bCs w:val="0"/>
          <w:i w:val="0"/>
          <w:iCs/>
          <w:sz w:val="28"/>
          <w:szCs w:val="28"/>
          <w:lang w:eastAsia="ru-RU"/>
        </w:rPr>
        <w:t>Д</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Рон</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А</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Шамир</w:t>
      </w:r>
      <w:r w:rsidRPr="00E42809">
        <w:rPr>
          <w:rFonts w:eastAsia="Times New Roman"/>
          <w:bCs w:val="0"/>
          <w:i w:val="0"/>
          <w:iCs/>
          <w:sz w:val="28"/>
          <w:szCs w:val="28"/>
          <w:lang w:val="en-US" w:eastAsia="ru-RU"/>
        </w:rPr>
        <w:t xml:space="preserve"> // Financial Cryptography and Data Security. FC 2013. Lecture Notes in Computer Science. 2013. Vol. 7859. P. 6–24. URL: https://doi.org/10.1007/978-3-642-39884-1_2 (</w:t>
      </w:r>
      <w:r w:rsidRPr="00E42809">
        <w:rPr>
          <w:rFonts w:eastAsia="Times New Roman"/>
          <w:bCs w:val="0"/>
          <w:i w:val="0"/>
          <w:iCs/>
          <w:sz w:val="28"/>
          <w:szCs w:val="28"/>
          <w:lang w:eastAsia="ru-RU"/>
        </w:rPr>
        <w:t>дата</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обращения</w:t>
      </w:r>
      <w:r w:rsidRPr="00E42809">
        <w:rPr>
          <w:rFonts w:eastAsia="Times New Roman"/>
          <w:bCs w:val="0"/>
          <w:i w:val="0"/>
          <w:iCs/>
          <w:sz w:val="28"/>
          <w:szCs w:val="28"/>
          <w:lang w:val="en-US" w:eastAsia="ru-RU"/>
        </w:rPr>
        <w:t xml:space="preserve">: 10.04.2026) </w:t>
      </w:r>
    </w:p>
    <w:p w14:paraId="0D8129CD" w14:textId="0F714603" w:rsidR="00E42809" w:rsidRPr="00B34E2C"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eastAsia="ru-RU"/>
        </w:rPr>
        <w:t xml:space="preserve">Meiklejohn S. A Fistful of Bitcoins: Characterizing Payments Among Men with No Names [Горсть биткоинов: характеристика платежей между участниками без установленных имён] / С. Мейклджон, М. Помарол, Г. </w:t>
      </w:r>
      <w:r w:rsidRPr="00E42809">
        <w:rPr>
          <w:rFonts w:eastAsia="Times New Roman"/>
          <w:bCs w:val="0"/>
          <w:i w:val="0"/>
          <w:iCs/>
          <w:sz w:val="28"/>
          <w:szCs w:val="28"/>
          <w:lang w:eastAsia="ru-RU"/>
        </w:rPr>
        <w:lastRenderedPageBreak/>
        <w:t xml:space="preserve">Джордан и др. // Proceedings of the 2013 Conference on Internet Measurement Conference. 2013. P. 127–140. URL: </w:t>
      </w:r>
      <w:hyperlink r:id="rId8" w:tgtFrame="_new" w:history="1">
        <w:r w:rsidRPr="00E42809">
          <w:rPr>
            <w:rStyle w:val="ac"/>
            <w:rFonts w:eastAsia="Times New Roman"/>
            <w:bCs w:val="0"/>
            <w:i w:val="0"/>
            <w:iCs/>
            <w:sz w:val="28"/>
            <w:szCs w:val="28"/>
            <w:lang w:eastAsia="ru-RU"/>
          </w:rPr>
          <w:t>https://doi.org/10.1145/2504730.2504747</w:t>
        </w:r>
      </w:hyperlink>
      <w:r w:rsidRPr="00E42809">
        <w:rPr>
          <w:rFonts w:eastAsia="Times New Roman"/>
          <w:bCs w:val="0"/>
          <w:i w:val="0"/>
          <w:iCs/>
          <w:sz w:val="28"/>
          <w:szCs w:val="28"/>
          <w:lang w:eastAsia="ru-RU"/>
        </w:rPr>
        <w:t xml:space="preserve"> (дата обращения: 10.04.2026)</w:t>
      </w:r>
    </w:p>
    <w:p w14:paraId="2F2D4DA7" w14:textId="510349DF" w:rsidR="00E42809" w:rsidRPr="00E42809" w:rsidRDefault="00E42809" w:rsidP="00E42809">
      <w:pPr>
        <w:pStyle w:val="af3"/>
        <w:numPr>
          <w:ilvl w:val="0"/>
          <w:numId w:val="31"/>
        </w:numPr>
        <w:spacing w:before="0" w:after="0" w:line="360" w:lineRule="auto"/>
        <w:ind w:left="567" w:hanging="567"/>
        <w:rPr>
          <w:rFonts w:eastAsia="Times New Roman"/>
          <w:bCs w:val="0"/>
          <w:i w:val="0"/>
          <w:iCs/>
          <w:sz w:val="28"/>
          <w:szCs w:val="28"/>
          <w:lang w:val="en-US" w:eastAsia="ru-RU"/>
        </w:rPr>
      </w:pPr>
      <w:r w:rsidRPr="00E42809">
        <w:rPr>
          <w:rFonts w:eastAsia="Times New Roman"/>
          <w:bCs w:val="0"/>
          <w:i w:val="0"/>
          <w:iCs/>
          <w:sz w:val="28"/>
          <w:szCs w:val="28"/>
          <w:lang w:eastAsia="ru-RU"/>
        </w:rPr>
        <w:t>Turner A.B. Analysis Techniques for Illicit Bitcoin Transactions [Методы анализа незаконных биткоин-транзакций] / А. Б. Тернер, С. МакКомби, А. Дж. Улман</w:t>
      </w:r>
      <w:r w:rsidRPr="00E42809">
        <w:rPr>
          <w:rFonts w:eastAsia="Times New Roman"/>
          <w:bCs w:val="0"/>
          <w:i w:val="0"/>
          <w:iCs/>
          <w:sz w:val="28"/>
          <w:szCs w:val="28"/>
          <w:lang w:val="en-US" w:eastAsia="ru-RU"/>
        </w:rPr>
        <w:t xml:space="preserve"> // Frontiers in Computer Science. 2020. Vol. 2. Art. 600596. URL: https://doi.org/10.3389/fcomp.2020.600596 (</w:t>
      </w:r>
      <w:r w:rsidRPr="00E42809">
        <w:rPr>
          <w:rFonts w:eastAsia="Times New Roman"/>
          <w:bCs w:val="0"/>
          <w:i w:val="0"/>
          <w:iCs/>
          <w:sz w:val="28"/>
          <w:szCs w:val="28"/>
          <w:lang w:eastAsia="ru-RU"/>
        </w:rPr>
        <w:t>дата</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обращения</w:t>
      </w:r>
      <w:r w:rsidRPr="00E42809">
        <w:rPr>
          <w:rFonts w:eastAsia="Times New Roman"/>
          <w:bCs w:val="0"/>
          <w:i w:val="0"/>
          <w:iCs/>
          <w:sz w:val="28"/>
          <w:szCs w:val="28"/>
          <w:lang w:val="en-US" w:eastAsia="ru-RU"/>
        </w:rPr>
        <w:t>: 10.04.2026)</w:t>
      </w:r>
    </w:p>
    <w:p w14:paraId="7808D1A3" w14:textId="1C3D87A6" w:rsidR="00E42809" w:rsidRPr="00B34E2C"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val="en-US" w:eastAsia="ru-RU"/>
        </w:rPr>
        <w:t>Weber M. Anti-Money Laundering in Bitcoin: Experimenting with Graph Convolutional Networks for Financial Forensics [</w:t>
      </w:r>
      <w:r w:rsidRPr="00E42809">
        <w:rPr>
          <w:rFonts w:eastAsia="Times New Roman"/>
          <w:bCs w:val="0"/>
          <w:i w:val="0"/>
          <w:iCs/>
          <w:sz w:val="28"/>
          <w:szCs w:val="28"/>
          <w:lang w:eastAsia="ru-RU"/>
        </w:rPr>
        <w:t>Противодействие</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отмыванию</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средств</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в</w:t>
      </w:r>
      <w:r w:rsidRPr="00E42809">
        <w:rPr>
          <w:rFonts w:eastAsia="Times New Roman"/>
          <w:bCs w:val="0"/>
          <w:i w:val="0"/>
          <w:iCs/>
          <w:sz w:val="28"/>
          <w:szCs w:val="28"/>
          <w:lang w:val="en-US" w:eastAsia="ru-RU"/>
        </w:rPr>
        <w:t xml:space="preserve"> Bitcoin: </w:t>
      </w:r>
      <w:r w:rsidRPr="00E42809">
        <w:rPr>
          <w:rFonts w:eastAsia="Times New Roman"/>
          <w:bCs w:val="0"/>
          <w:i w:val="0"/>
          <w:iCs/>
          <w:sz w:val="28"/>
          <w:szCs w:val="28"/>
          <w:lang w:eastAsia="ru-RU"/>
        </w:rPr>
        <w:t>экспериментирование</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с</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графовыми</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сверточными</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сетями</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для</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финансовой</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криминалистики</w:t>
      </w:r>
      <w:r w:rsidRPr="00E42809">
        <w:rPr>
          <w:rFonts w:eastAsia="Times New Roman"/>
          <w:bCs w:val="0"/>
          <w:i w:val="0"/>
          <w:iCs/>
          <w:sz w:val="28"/>
          <w:szCs w:val="28"/>
          <w:lang w:val="en-US" w:eastAsia="ru-RU"/>
        </w:rPr>
        <w:t xml:space="preserve">] / </w:t>
      </w:r>
      <w:r w:rsidRPr="00E42809">
        <w:rPr>
          <w:rFonts w:eastAsia="Times New Roman"/>
          <w:bCs w:val="0"/>
          <w:i w:val="0"/>
          <w:iCs/>
          <w:sz w:val="28"/>
          <w:szCs w:val="28"/>
          <w:lang w:eastAsia="ru-RU"/>
        </w:rPr>
        <w:t>М</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Вебер</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Дж</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Доменикони</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Дж</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Чэнь</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и</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др</w:t>
      </w:r>
      <w:r w:rsidRPr="00E42809">
        <w:rPr>
          <w:rFonts w:eastAsia="Times New Roman"/>
          <w:bCs w:val="0"/>
          <w:i w:val="0"/>
          <w:iCs/>
          <w:sz w:val="28"/>
          <w:szCs w:val="28"/>
          <w:lang w:val="en-US" w:eastAsia="ru-RU"/>
        </w:rPr>
        <w:t xml:space="preserve">. // KDD ’19 Workshop on Anomaly Detection in Finance. </w:t>
      </w:r>
      <w:r w:rsidRPr="00E42809">
        <w:rPr>
          <w:rFonts w:eastAsia="Times New Roman"/>
          <w:bCs w:val="0"/>
          <w:i w:val="0"/>
          <w:iCs/>
          <w:sz w:val="28"/>
          <w:szCs w:val="28"/>
          <w:lang w:eastAsia="ru-RU"/>
        </w:rPr>
        <w:t xml:space="preserve">2019. URL: </w:t>
      </w:r>
      <w:hyperlink r:id="rId9" w:tgtFrame="_new" w:history="1">
        <w:r w:rsidRPr="00E42809">
          <w:rPr>
            <w:rStyle w:val="ac"/>
            <w:rFonts w:eastAsia="Times New Roman"/>
            <w:bCs w:val="0"/>
            <w:i w:val="0"/>
            <w:iCs/>
            <w:sz w:val="28"/>
            <w:szCs w:val="28"/>
            <w:lang w:eastAsia="ru-RU"/>
          </w:rPr>
          <w:t>https://arxiv.org/abs/1908.02591</w:t>
        </w:r>
      </w:hyperlink>
      <w:r w:rsidRPr="00E42809">
        <w:rPr>
          <w:rFonts w:eastAsia="Times New Roman"/>
          <w:bCs w:val="0"/>
          <w:i w:val="0"/>
          <w:iCs/>
          <w:sz w:val="28"/>
          <w:szCs w:val="28"/>
          <w:lang w:eastAsia="ru-RU"/>
        </w:rPr>
        <w:t xml:space="preserve"> (дата обращения: 10.04.2026)</w:t>
      </w:r>
    </w:p>
    <w:p w14:paraId="055F4F7B" w14:textId="549DAE1C" w:rsidR="00E42809" w:rsidRPr="00B34E2C"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val="en-US" w:eastAsia="ru-RU"/>
        </w:rPr>
        <w:t>Zhang Y. Heuristic-Based Address Clustering in Bitcoin [</w:t>
      </w:r>
      <w:r w:rsidRPr="00E42809">
        <w:rPr>
          <w:rFonts w:eastAsia="Times New Roman"/>
          <w:bCs w:val="0"/>
          <w:i w:val="0"/>
          <w:iCs/>
          <w:sz w:val="28"/>
          <w:szCs w:val="28"/>
          <w:lang w:eastAsia="ru-RU"/>
        </w:rPr>
        <w:t>Эвристическая</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кластеризация</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адресов</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в</w:t>
      </w:r>
      <w:r w:rsidRPr="00E42809">
        <w:rPr>
          <w:rFonts w:eastAsia="Times New Roman"/>
          <w:bCs w:val="0"/>
          <w:i w:val="0"/>
          <w:iCs/>
          <w:sz w:val="28"/>
          <w:szCs w:val="28"/>
          <w:lang w:val="en-US" w:eastAsia="ru-RU"/>
        </w:rPr>
        <w:t xml:space="preserve"> Bitcoin] / </w:t>
      </w:r>
      <w:r w:rsidRPr="00E42809">
        <w:rPr>
          <w:rFonts w:eastAsia="Times New Roman"/>
          <w:bCs w:val="0"/>
          <w:i w:val="0"/>
          <w:iCs/>
          <w:sz w:val="28"/>
          <w:szCs w:val="28"/>
          <w:lang w:eastAsia="ru-RU"/>
        </w:rPr>
        <w:t>Ю</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Чжан</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Дж</w:t>
      </w:r>
      <w:r w:rsidRPr="00E42809">
        <w:rPr>
          <w:rFonts w:eastAsia="Times New Roman"/>
          <w:bCs w:val="0"/>
          <w:i w:val="0"/>
          <w:iCs/>
          <w:sz w:val="28"/>
          <w:szCs w:val="28"/>
          <w:lang w:val="en-US" w:eastAsia="ru-RU"/>
        </w:rPr>
        <w:t xml:space="preserve">. </w:t>
      </w:r>
      <w:r w:rsidRPr="00E42809">
        <w:rPr>
          <w:rFonts w:eastAsia="Times New Roman"/>
          <w:bCs w:val="0"/>
          <w:i w:val="0"/>
          <w:iCs/>
          <w:sz w:val="28"/>
          <w:szCs w:val="28"/>
          <w:lang w:eastAsia="ru-RU"/>
        </w:rPr>
        <w:t>Ван, Ц. Ло // IEEE Access. 2020. Vol. 8. P. 210582–210591. URL: https://doi.org/10.1109/ACCESS.2020.3039570 (дата обращения: 10.</w:t>
      </w:r>
      <w:r>
        <w:rPr>
          <w:rFonts w:eastAsia="Times New Roman"/>
          <w:bCs w:val="0"/>
          <w:i w:val="0"/>
          <w:iCs/>
          <w:sz w:val="28"/>
          <w:szCs w:val="28"/>
          <w:lang w:eastAsia="ru-RU"/>
        </w:rPr>
        <w:t>04.2026</w:t>
      </w:r>
      <w:r w:rsidRPr="00B34E2C">
        <w:rPr>
          <w:rFonts w:eastAsia="Times New Roman"/>
          <w:bCs w:val="0"/>
          <w:i w:val="0"/>
          <w:iCs/>
          <w:sz w:val="28"/>
          <w:szCs w:val="28"/>
          <w:lang w:eastAsia="ru-RU"/>
        </w:rPr>
        <w:t>)</w:t>
      </w:r>
    </w:p>
    <w:p w14:paraId="3478DF80" w14:textId="4D8B2083" w:rsidR="00E42809" w:rsidRPr="00B34E2C"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eastAsia="ru-RU"/>
        </w:rPr>
        <w:t xml:space="preserve">Kalodner H. BlockSci: Design and Applications of a Blockchain Analysis Platform [BlockSci: проектирование и применение платформы анализа блокчейна] / Х. Калоднер, М. Мёзер, К. Ли и др. // 29th USENIX Security Symposium (USENIX Security 20). 2020. P. 2721–2738. URL: </w:t>
      </w:r>
      <w:hyperlink r:id="rId10" w:tgtFrame="_new" w:history="1">
        <w:r w:rsidRPr="00E42809">
          <w:rPr>
            <w:rStyle w:val="ac"/>
            <w:rFonts w:eastAsia="Times New Roman"/>
            <w:bCs w:val="0"/>
            <w:i w:val="0"/>
            <w:iCs/>
            <w:sz w:val="28"/>
            <w:szCs w:val="28"/>
            <w:lang w:eastAsia="ru-RU"/>
          </w:rPr>
          <w:t>https://www.usenix.org/conference/usenixsecurity20/presentation/kalodner</w:t>
        </w:r>
      </w:hyperlink>
      <w:r w:rsidRPr="00E42809">
        <w:rPr>
          <w:rFonts w:eastAsia="Times New Roman"/>
          <w:bCs w:val="0"/>
          <w:i w:val="0"/>
          <w:iCs/>
          <w:sz w:val="28"/>
          <w:szCs w:val="28"/>
          <w:lang w:eastAsia="ru-RU"/>
        </w:rPr>
        <w:t xml:space="preserve"> (дата обращения: 10.04.2026)</w:t>
      </w:r>
    </w:p>
    <w:p w14:paraId="1C2305B9" w14:textId="17476DA6" w:rsidR="00E42809" w:rsidRPr="00B34E2C"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eastAsia="ru-RU"/>
        </w:rPr>
        <w:t xml:space="preserve">Haslhofer B. GraphSense: A General-Purpose Cryptoasset Analytics Platform [GraphSense: универсальная аналитическая платформа для криптоактивов] / Б. Хазльхофер, Р. Штюц, М. Ромити, Р. Кинг // arXiv. 2021. arXiv:2102.13613 [cs.CR]. URL: </w:t>
      </w:r>
      <w:hyperlink r:id="rId11" w:tgtFrame="_new" w:history="1">
        <w:r w:rsidRPr="00E42809">
          <w:rPr>
            <w:rStyle w:val="ac"/>
            <w:rFonts w:eastAsia="Times New Roman"/>
            <w:bCs w:val="0"/>
            <w:i w:val="0"/>
            <w:iCs/>
            <w:sz w:val="28"/>
            <w:szCs w:val="28"/>
            <w:lang w:eastAsia="ru-RU"/>
          </w:rPr>
          <w:t>https://arxiv.org/abs/2102.13613</w:t>
        </w:r>
      </w:hyperlink>
      <w:r>
        <w:rPr>
          <w:rFonts w:eastAsia="Times New Roman"/>
          <w:bCs w:val="0"/>
          <w:i w:val="0"/>
          <w:iCs/>
          <w:sz w:val="28"/>
          <w:szCs w:val="28"/>
          <w:lang w:eastAsia="ru-RU"/>
        </w:rPr>
        <w:t xml:space="preserve"> (дата обращения: 10.04.2026</w:t>
      </w:r>
      <w:r w:rsidRPr="00B34E2C">
        <w:rPr>
          <w:rFonts w:eastAsia="Times New Roman"/>
          <w:bCs w:val="0"/>
          <w:i w:val="0"/>
          <w:iCs/>
          <w:sz w:val="28"/>
          <w:szCs w:val="28"/>
          <w:lang w:eastAsia="ru-RU"/>
        </w:rPr>
        <w:t>)</w:t>
      </w:r>
    </w:p>
    <w:p w14:paraId="43FDE84B" w14:textId="6C039F3F" w:rsidR="00E42809" w:rsidRPr="00E42809"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eastAsia="ru-RU"/>
        </w:rPr>
        <w:lastRenderedPageBreak/>
        <w:t xml:space="preserve">Alarab I. Graph-Based LSTM for Anti-money Laundering: Experimenting Temporal Graph Convolutional Network with Bitcoin Data [Графовая LSTM для противодействия отмыванию средств: эксперимент с временной графовой сверточной сетью на данных Bitcoin] / И. Алараб, С. Пракунвит // Neural Processing Letters. 2023. Vol. 55. P. 689–707. URL: </w:t>
      </w:r>
      <w:hyperlink r:id="rId12" w:tgtFrame="_new" w:history="1">
        <w:r w:rsidRPr="00E42809">
          <w:rPr>
            <w:rStyle w:val="ac"/>
            <w:rFonts w:eastAsia="Times New Roman"/>
            <w:bCs w:val="0"/>
            <w:i w:val="0"/>
            <w:iCs/>
            <w:sz w:val="28"/>
            <w:szCs w:val="28"/>
            <w:lang w:eastAsia="ru-RU"/>
          </w:rPr>
          <w:t>https://doi.org/10.1007/s11063-022-10904-8</w:t>
        </w:r>
      </w:hyperlink>
      <w:r w:rsidRPr="00E42809">
        <w:rPr>
          <w:rFonts w:eastAsia="Times New Roman"/>
          <w:bCs w:val="0"/>
          <w:i w:val="0"/>
          <w:iCs/>
          <w:sz w:val="28"/>
          <w:szCs w:val="28"/>
          <w:lang w:eastAsia="ru-RU"/>
        </w:rPr>
        <w:t xml:space="preserve"> (дата обращения: 10.04.2026)</w:t>
      </w:r>
    </w:p>
    <w:p w14:paraId="26FFA962" w14:textId="482E192A" w:rsidR="00E42809" w:rsidRPr="00B34E2C"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eastAsia="ru-RU"/>
        </w:rPr>
        <w:t xml:space="preserve">Shevchuk R. Anomaly Detection in Blockchain: A Systematic Review of Trends, Challenges, and Future Directions [Обнаружение аномалий в блокчейне: систематический обзор тенденций, вызовов и перспективных направлений] / Р. Шевчук, В. Марценюк, Б. Адамык, В. Бенсон, А. Мельник // Applied Sciences. 2025. Vol. 15. No. 15. Art. 8330. URL: </w:t>
      </w:r>
      <w:hyperlink r:id="rId13" w:tgtFrame="_new" w:history="1">
        <w:r w:rsidRPr="00E42809">
          <w:rPr>
            <w:rStyle w:val="ac"/>
            <w:rFonts w:eastAsia="Times New Roman"/>
            <w:bCs w:val="0"/>
            <w:i w:val="0"/>
            <w:iCs/>
            <w:sz w:val="28"/>
            <w:szCs w:val="28"/>
            <w:lang w:eastAsia="ru-RU"/>
          </w:rPr>
          <w:t>https://doi.org/10.3390/app15158330</w:t>
        </w:r>
      </w:hyperlink>
      <w:r w:rsidRPr="00E42809">
        <w:rPr>
          <w:rFonts w:eastAsia="Times New Roman"/>
          <w:bCs w:val="0"/>
          <w:i w:val="0"/>
          <w:iCs/>
          <w:sz w:val="28"/>
          <w:szCs w:val="28"/>
          <w:lang w:eastAsia="ru-RU"/>
        </w:rPr>
        <w:t xml:space="preserve"> (дата обращения: 10.04.2026</w:t>
      </w:r>
    </w:p>
    <w:p w14:paraId="3911ED18" w14:textId="722ABB92" w:rsidR="00E42809" w:rsidRDefault="00E42809" w:rsidP="00E42809">
      <w:pPr>
        <w:pStyle w:val="af3"/>
        <w:numPr>
          <w:ilvl w:val="0"/>
          <w:numId w:val="31"/>
        </w:numPr>
        <w:spacing w:before="0" w:after="0" w:line="360" w:lineRule="auto"/>
        <w:ind w:left="567" w:hanging="567"/>
        <w:rPr>
          <w:rFonts w:eastAsia="Times New Roman"/>
          <w:bCs w:val="0"/>
          <w:i w:val="0"/>
          <w:iCs/>
          <w:sz w:val="28"/>
          <w:szCs w:val="28"/>
          <w:lang w:eastAsia="ru-RU"/>
        </w:rPr>
      </w:pPr>
      <w:r w:rsidRPr="00E42809">
        <w:rPr>
          <w:rFonts w:eastAsia="Times New Roman"/>
          <w:bCs w:val="0"/>
          <w:i w:val="0"/>
          <w:iCs/>
          <w:sz w:val="28"/>
          <w:szCs w:val="28"/>
          <w:lang w:eastAsia="ru-RU"/>
        </w:rPr>
        <w:t xml:space="preserve">FATF. Virtual Assets Red Flag Indicators of Money Laundering and Terrorist Financing [Индикаторы подозрительной активности виртуальных активов при отмывании денег и финансировании терроризма]. Париж: FATF/OECD, 2020. URL: </w:t>
      </w:r>
      <w:hyperlink r:id="rId14" w:tgtFrame="_new" w:history="1">
        <w:r w:rsidRPr="00E42809">
          <w:rPr>
            <w:rStyle w:val="ac"/>
            <w:rFonts w:eastAsia="Times New Roman"/>
            <w:bCs w:val="0"/>
            <w:i w:val="0"/>
            <w:iCs/>
            <w:sz w:val="28"/>
            <w:szCs w:val="28"/>
            <w:lang w:eastAsia="ru-RU"/>
          </w:rPr>
          <w:t>https://www.fatf-gafi.org/content/dam/fatf/documents/recommendations/Virtual-Assets-Red-Flag-Indicators.pdf</w:t>
        </w:r>
      </w:hyperlink>
      <w:r w:rsidRPr="00E42809">
        <w:rPr>
          <w:rFonts w:eastAsia="Times New Roman"/>
          <w:bCs w:val="0"/>
          <w:i w:val="0"/>
          <w:iCs/>
          <w:sz w:val="28"/>
          <w:szCs w:val="28"/>
          <w:lang w:eastAsia="ru-RU"/>
        </w:rPr>
        <w:t xml:space="preserve"> (дата обращения: 10.04.2026)</w:t>
      </w:r>
    </w:p>
    <w:p w14:paraId="729E0058" w14:textId="57725098" w:rsidR="003225C3" w:rsidRPr="00EA6644" w:rsidRDefault="003225C3" w:rsidP="00822666">
      <w:pPr>
        <w:spacing w:line="360" w:lineRule="auto"/>
        <w:jc w:val="both"/>
        <w:rPr>
          <w:color w:val="000000"/>
          <w:sz w:val="28"/>
          <w:szCs w:val="28"/>
        </w:rPr>
      </w:pPr>
    </w:p>
    <w:sectPr w:rsidR="003225C3" w:rsidRPr="00EA66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513"/>
    <w:multiLevelType w:val="multilevel"/>
    <w:tmpl w:val="B4E2F8E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91E0D"/>
    <w:multiLevelType w:val="multilevel"/>
    <w:tmpl w:val="FDFA1F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44DA2"/>
    <w:multiLevelType w:val="multilevel"/>
    <w:tmpl w:val="03E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409BF"/>
    <w:multiLevelType w:val="multilevel"/>
    <w:tmpl w:val="2194B2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E375C"/>
    <w:multiLevelType w:val="multilevel"/>
    <w:tmpl w:val="0A4E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F18D1"/>
    <w:multiLevelType w:val="hybridMultilevel"/>
    <w:tmpl w:val="99B2E7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27379A1"/>
    <w:multiLevelType w:val="multilevel"/>
    <w:tmpl w:val="B64C098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209DA"/>
    <w:multiLevelType w:val="multilevel"/>
    <w:tmpl w:val="56E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F49A2"/>
    <w:multiLevelType w:val="multilevel"/>
    <w:tmpl w:val="3F96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34F48"/>
    <w:multiLevelType w:val="multilevel"/>
    <w:tmpl w:val="9190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70306"/>
    <w:multiLevelType w:val="hybridMultilevel"/>
    <w:tmpl w:val="575E21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35827E4"/>
    <w:multiLevelType w:val="hybridMultilevel"/>
    <w:tmpl w:val="69A09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A05CEC"/>
    <w:multiLevelType w:val="multilevel"/>
    <w:tmpl w:val="338861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7B2C37"/>
    <w:multiLevelType w:val="hybridMultilevel"/>
    <w:tmpl w:val="DC1A64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9053A83"/>
    <w:multiLevelType w:val="multilevel"/>
    <w:tmpl w:val="495C9FD4"/>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39471D94"/>
    <w:multiLevelType w:val="multilevel"/>
    <w:tmpl w:val="FC8AF2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638AA"/>
    <w:multiLevelType w:val="multilevel"/>
    <w:tmpl w:val="1C16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186CFF"/>
    <w:multiLevelType w:val="multilevel"/>
    <w:tmpl w:val="823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0711F"/>
    <w:multiLevelType w:val="multilevel"/>
    <w:tmpl w:val="E63C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944C09"/>
    <w:multiLevelType w:val="multilevel"/>
    <w:tmpl w:val="98C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00755"/>
    <w:multiLevelType w:val="hybridMultilevel"/>
    <w:tmpl w:val="1586F9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4A0360A"/>
    <w:multiLevelType w:val="multilevel"/>
    <w:tmpl w:val="A69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E2B79"/>
    <w:multiLevelType w:val="multilevel"/>
    <w:tmpl w:val="FCE0D0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2473EF"/>
    <w:multiLevelType w:val="hybridMultilevel"/>
    <w:tmpl w:val="CDE423EA"/>
    <w:lvl w:ilvl="0" w:tplc="F4C032BA">
      <w:start w:val="1"/>
      <w:numFmt w:val="upperLett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64863139"/>
    <w:multiLevelType w:val="hybridMultilevel"/>
    <w:tmpl w:val="22B4D9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6912883"/>
    <w:multiLevelType w:val="multilevel"/>
    <w:tmpl w:val="AF4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05D07"/>
    <w:multiLevelType w:val="hybridMultilevel"/>
    <w:tmpl w:val="3154B5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4221FAD"/>
    <w:multiLevelType w:val="multilevel"/>
    <w:tmpl w:val="1B4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F7EEA"/>
    <w:multiLevelType w:val="multilevel"/>
    <w:tmpl w:val="72D6F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736F5C"/>
    <w:multiLevelType w:val="hybridMultilevel"/>
    <w:tmpl w:val="815E8420"/>
    <w:lvl w:ilvl="0" w:tplc="2CA2BA60">
      <w:start w:val="11"/>
      <w:numFmt w:val="upperLett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 w15:restartNumberingAfterBreak="0">
    <w:nsid w:val="79B73823"/>
    <w:multiLevelType w:val="hybridMultilevel"/>
    <w:tmpl w:val="18E0A578"/>
    <w:lvl w:ilvl="0" w:tplc="0419000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901522186">
    <w:abstractNumId w:val="7"/>
  </w:num>
  <w:num w:numId="2" w16cid:durableId="1743093359">
    <w:abstractNumId w:val="2"/>
  </w:num>
  <w:num w:numId="3" w16cid:durableId="706565265">
    <w:abstractNumId w:val="28"/>
  </w:num>
  <w:num w:numId="4" w16cid:durableId="1714571210">
    <w:abstractNumId w:val="22"/>
  </w:num>
  <w:num w:numId="5" w16cid:durableId="957415834">
    <w:abstractNumId w:val="21"/>
  </w:num>
  <w:num w:numId="6" w16cid:durableId="1510212148">
    <w:abstractNumId w:val="15"/>
  </w:num>
  <w:num w:numId="7" w16cid:durableId="1971016049">
    <w:abstractNumId w:val="17"/>
  </w:num>
  <w:num w:numId="8" w16cid:durableId="1753161956">
    <w:abstractNumId w:val="3"/>
  </w:num>
  <w:num w:numId="9" w16cid:durableId="1177692461">
    <w:abstractNumId w:val="12"/>
  </w:num>
  <w:num w:numId="10" w16cid:durableId="2033071680">
    <w:abstractNumId w:val="8"/>
  </w:num>
  <w:num w:numId="11" w16cid:durableId="1342658339">
    <w:abstractNumId w:val="1"/>
  </w:num>
  <w:num w:numId="12" w16cid:durableId="460226297">
    <w:abstractNumId w:val="16"/>
  </w:num>
  <w:num w:numId="13" w16cid:durableId="1010721519">
    <w:abstractNumId w:val="23"/>
  </w:num>
  <w:num w:numId="14" w16cid:durableId="274480918">
    <w:abstractNumId w:val="9"/>
  </w:num>
  <w:num w:numId="15" w16cid:durableId="947002049">
    <w:abstractNumId w:val="6"/>
  </w:num>
  <w:num w:numId="16" w16cid:durableId="951059232">
    <w:abstractNumId w:val="0"/>
  </w:num>
  <w:num w:numId="17" w16cid:durableId="1941597858">
    <w:abstractNumId w:val="30"/>
  </w:num>
  <w:num w:numId="18" w16cid:durableId="1127774606">
    <w:abstractNumId w:val="14"/>
  </w:num>
  <w:num w:numId="19" w16cid:durableId="865631776">
    <w:abstractNumId w:val="25"/>
  </w:num>
  <w:num w:numId="20" w16cid:durableId="261887305">
    <w:abstractNumId w:val="20"/>
  </w:num>
  <w:num w:numId="21" w16cid:durableId="1611232766">
    <w:abstractNumId w:val="29"/>
  </w:num>
  <w:num w:numId="22" w16cid:durableId="2026783146">
    <w:abstractNumId w:val="27"/>
  </w:num>
  <w:num w:numId="23" w16cid:durableId="1578319531">
    <w:abstractNumId w:val="24"/>
  </w:num>
  <w:num w:numId="24" w16cid:durableId="965543553">
    <w:abstractNumId w:val="18"/>
  </w:num>
  <w:num w:numId="25" w16cid:durableId="1028064117">
    <w:abstractNumId w:val="19"/>
  </w:num>
  <w:num w:numId="26" w16cid:durableId="1084954992">
    <w:abstractNumId w:val="5"/>
  </w:num>
  <w:num w:numId="27" w16cid:durableId="1458913371">
    <w:abstractNumId w:val="26"/>
  </w:num>
  <w:num w:numId="28" w16cid:durableId="840658606">
    <w:abstractNumId w:val="4"/>
  </w:num>
  <w:num w:numId="29" w16cid:durableId="62996321">
    <w:abstractNumId w:val="13"/>
  </w:num>
  <w:num w:numId="30" w16cid:durableId="419643734">
    <w:abstractNumId w:val="10"/>
  </w:num>
  <w:num w:numId="31" w16cid:durableId="1224291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91D"/>
    <w:rsid w:val="0001641B"/>
    <w:rsid w:val="00024B81"/>
    <w:rsid w:val="00027198"/>
    <w:rsid w:val="000414A5"/>
    <w:rsid w:val="00045A99"/>
    <w:rsid w:val="00050D90"/>
    <w:rsid w:val="000516D5"/>
    <w:rsid w:val="00053BDE"/>
    <w:rsid w:val="000565A1"/>
    <w:rsid w:val="0006391D"/>
    <w:rsid w:val="00064029"/>
    <w:rsid w:val="00065789"/>
    <w:rsid w:val="00072D8C"/>
    <w:rsid w:val="00092A19"/>
    <w:rsid w:val="00094768"/>
    <w:rsid w:val="00095E12"/>
    <w:rsid w:val="000A4212"/>
    <w:rsid w:val="000A5EBD"/>
    <w:rsid w:val="000B2DA5"/>
    <w:rsid w:val="000B54FE"/>
    <w:rsid w:val="000D2685"/>
    <w:rsid w:val="000E3205"/>
    <w:rsid w:val="000E7679"/>
    <w:rsid w:val="000F79A3"/>
    <w:rsid w:val="00112F57"/>
    <w:rsid w:val="00114F40"/>
    <w:rsid w:val="001201BB"/>
    <w:rsid w:val="00125401"/>
    <w:rsid w:val="001323FD"/>
    <w:rsid w:val="00132C46"/>
    <w:rsid w:val="00154848"/>
    <w:rsid w:val="001554E4"/>
    <w:rsid w:val="00161424"/>
    <w:rsid w:val="00164158"/>
    <w:rsid w:val="00170160"/>
    <w:rsid w:val="001717E3"/>
    <w:rsid w:val="0017657D"/>
    <w:rsid w:val="00176736"/>
    <w:rsid w:val="001805FE"/>
    <w:rsid w:val="00196F6B"/>
    <w:rsid w:val="001A3F15"/>
    <w:rsid w:val="001D19F5"/>
    <w:rsid w:val="001D608F"/>
    <w:rsid w:val="001E4E1E"/>
    <w:rsid w:val="001E5C79"/>
    <w:rsid w:val="001F2C70"/>
    <w:rsid w:val="001F6350"/>
    <w:rsid w:val="00214422"/>
    <w:rsid w:val="0021688F"/>
    <w:rsid w:val="002231CD"/>
    <w:rsid w:val="00251A72"/>
    <w:rsid w:val="00256BB9"/>
    <w:rsid w:val="0026552E"/>
    <w:rsid w:val="00267B73"/>
    <w:rsid w:val="0027185A"/>
    <w:rsid w:val="00272FEE"/>
    <w:rsid w:val="002755A7"/>
    <w:rsid w:val="00282B41"/>
    <w:rsid w:val="00283047"/>
    <w:rsid w:val="00290157"/>
    <w:rsid w:val="00295ABF"/>
    <w:rsid w:val="002A1B3A"/>
    <w:rsid w:val="002A377B"/>
    <w:rsid w:val="002C041C"/>
    <w:rsid w:val="002C6295"/>
    <w:rsid w:val="002D02E7"/>
    <w:rsid w:val="002D5FB0"/>
    <w:rsid w:val="002E1766"/>
    <w:rsid w:val="002E3CF0"/>
    <w:rsid w:val="002E528E"/>
    <w:rsid w:val="00310B4E"/>
    <w:rsid w:val="00314A36"/>
    <w:rsid w:val="003225C3"/>
    <w:rsid w:val="00322BEE"/>
    <w:rsid w:val="003240CE"/>
    <w:rsid w:val="003251B7"/>
    <w:rsid w:val="00331164"/>
    <w:rsid w:val="003436FE"/>
    <w:rsid w:val="00372276"/>
    <w:rsid w:val="00375DEC"/>
    <w:rsid w:val="00376B81"/>
    <w:rsid w:val="00396C6D"/>
    <w:rsid w:val="003A148F"/>
    <w:rsid w:val="003A14D3"/>
    <w:rsid w:val="003A6BB4"/>
    <w:rsid w:val="003B5382"/>
    <w:rsid w:val="003B76D3"/>
    <w:rsid w:val="003C0B01"/>
    <w:rsid w:val="003C1964"/>
    <w:rsid w:val="003C1B29"/>
    <w:rsid w:val="003C365A"/>
    <w:rsid w:val="003C6204"/>
    <w:rsid w:val="003F3069"/>
    <w:rsid w:val="003F65DD"/>
    <w:rsid w:val="003F6B7B"/>
    <w:rsid w:val="00400252"/>
    <w:rsid w:val="00401780"/>
    <w:rsid w:val="00405089"/>
    <w:rsid w:val="00407398"/>
    <w:rsid w:val="00407C2F"/>
    <w:rsid w:val="00407EDE"/>
    <w:rsid w:val="00412115"/>
    <w:rsid w:val="00417082"/>
    <w:rsid w:val="0043201C"/>
    <w:rsid w:val="004372A4"/>
    <w:rsid w:val="004544B6"/>
    <w:rsid w:val="00463132"/>
    <w:rsid w:val="004641DA"/>
    <w:rsid w:val="004677E3"/>
    <w:rsid w:val="00476397"/>
    <w:rsid w:val="00481F30"/>
    <w:rsid w:val="00494E5A"/>
    <w:rsid w:val="004974D5"/>
    <w:rsid w:val="004A7482"/>
    <w:rsid w:val="004B3CDA"/>
    <w:rsid w:val="004B5107"/>
    <w:rsid w:val="004B6D35"/>
    <w:rsid w:val="004C2FC3"/>
    <w:rsid w:val="004C5E1E"/>
    <w:rsid w:val="004D6DEB"/>
    <w:rsid w:val="004E1653"/>
    <w:rsid w:val="004E64B4"/>
    <w:rsid w:val="004F2460"/>
    <w:rsid w:val="004F3A13"/>
    <w:rsid w:val="004F41B9"/>
    <w:rsid w:val="005163A2"/>
    <w:rsid w:val="005171B7"/>
    <w:rsid w:val="00522993"/>
    <w:rsid w:val="00536DA1"/>
    <w:rsid w:val="00540E51"/>
    <w:rsid w:val="00544E63"/>
    <w:rsid w:val="005630E4"/>
    <w:rsid w:val="0056521F"/>
    <w:rsid w:val="0057455F"/>
    <w:rsid w:val="00576ECA"/>
    <w:rsid w:val="00577163"/>
    <w:rsid w:val="0058283D"/>
    <w:rsid w:val="00594855"/>
    <w:rsid w:val="005A2CAC"/>
    <w:rsid w:val="005A3A1E"/>
    <w:rsid w:val="005B2AAD"/>
    <w:rsid w:val="005E1627"/>
    <w:rsid w:val="005E3292"/>
    <w:rsid w:val="00603551"/>
    <w:rsid w:val="006064BE"/>
    <w:rsid w:val="0061070D"/>
    <w:rsid w:val="006121CB"/>
    <w:rsid w:val="00616B4A"/>
    <w:rsid w:val="006239CE"/>
    <w:rsid w:val="00635DF3"/>
    <w:rsid w:val="0064474B"/>
    <w:rsid w:val="00644847"/>
    <w:rsid w:val="00660C6E"/>
    <w:rsid w:val="00675EED"/>
    <w:rsid w:val="00680768"/>
    <w:rsid w:val="00685F91"/>
    <w:rsid w:val="00687DAD"/>
    <w:rsid w:val="0069345C"/>
    <w:rsid w:val="00694E0A"/>
    <w:rsid w:val="00696C66"/>
    <w:rsid w:val="006B3130"/>
    <w:rsid w:val="006B710C"/>
    <w:rsid w:val="006C3E11"/>
    <w:rsid w:val="006C617A"/>
    <w:rsid w:val="00705D23"/>
    <w:rsid w:val="007144D9"/>
    <w:rsid w:val="00714ACF"/>
    <w:rsid w:val="007153BC"/>
    <w:rsid w:val="00725AD2"/>
    <w:rsid w:val="007315A6"/>
    <w:rsid w:val="00735613"/>
    <w:rsid w:val="0074123B"/>
    <w:rsid w:val="00755586"/>
    <w:rsid w:val="00756A56"/>
    <w:rsid w:val="007613FA"/>
    <w:rsid w:val="0076282C"/>
    <w:rsid w:val="007646AE"/>
    <w:rsid w:val="00771980"/>
    <w:rsid w:val="00774EA1"/>
    <w:rsid w:val="00777BB2"/>
    <w:rsid w:val="007802DA"/>
    <w:rsid w:val="0078150D"/>
    <w:rsid w:val="007A04D8"/>
    <w:rsid w:val="007C1970"/>
    <w:rsid w:val="007D6D8C"/>
    <w:rsid w:val="007E0663"/>
    <w:rsid w:val="007E5C21"/>
    <w:rsid w:val="007F3375"/>
    <w:rsid w:val="00802D02"/>
    <w:rsid w:val="0082111F"/>
    <w:rsid w:val="00822666"/>
    <w:rsid w:val="00840F9E"/>
    <w:rsid w:val="00843745"/>
    <w:rsid w:val="0084692B"/>
    <w:rsid w:val="00860EA2"/>
    <w:rsid w:val="00874CF3"/>
    <w:rsid w:val="00882D0F"/>
    <w:rsid w:val="00886A14"/>
    <w:rsid w:val="00887B2F"/>
    <w:rsid w:val="008933DB"/>
    <w:rsid w:val="008A455C"/>
    <w:rsid w:val="008A4738"/>
    <w:rsid w:val="008C622A"/>
    <w:rsid w:val="008C6F00"/>
    <w:rsid w:val="008D57B7"/>
    <w:rsid w:val="008E3390"/>
    <w:rsid w:val="008F0456"/>
    <w:rsid w:val="00911E8C"/>
    <w:rsid w:val="009238FA"/>
    <w:rsid w:val="009257B1"/>
    <w:rsid w:val="00927367"/>
    <w:rsid w:val="00957910"/>
    <w:rsid w:val="00971696"/>
    <w:rsid w:val="009802A3"/>
    <w:rsid w:val="00985D18"/>
    <w:rsid w:val="00992D13"/>
    <w:rsid w:val="009A312E"/>
    <w:rsid w:val="009B389A"/>
    <w:rsid w:val="009C2796"/>
    <w:rsid w:val="009C379C"/>
    <w:rsid w:val="009D0E38"/>
    <w:rsid w:val="009D4055"/>
    <w:rsid w:val="009E5AF4"/>
    <w:rsid w:val="00A00179"/>
    <w:rsid w:val="00A07C65"/>
    <w:rsid w:val="00A16E44"/>
    <w:rsid w:val="00A2175B"/>
    <w:rsid w:val="00A265AB"/>
    <w:rsid w:val="00A2668A"/>
    <w:rsid w:val="00A27029"/>
    <w:rsid w:val="00A3256B"/>
    <w:rsid w:val="00A351F7"/>
    <w:rsid w:val="00A46F71"/>
    <w:rsid w:val="00A52B11"/>
    <w:rsid w:val="00A63C62"/>
    <w:rsid w:val="00A76298"/>
    <w:rsid w:val="00A76B49"/>
    <w:rsid w:val="00A83287"/>
    <w:rsid w:val="00A94FE5"/>
    <w:rsid w:val="00A964CA"/>
    <w:rsid w:val="00AA07CD"/>
    <w:rsid w:val="00AB0258"/>
    <w:rsid w:val="00AC0631"/>
    <w:rsid w:val="00AC0DE2"/>
    <w:rsid w:val="00AC1094"/>
    <w:rsid w:val="00AF7FC5"/>
    <w:rsid w:val="00B11956"/>
    <w:rsid w:val="00B14E2F"/>
    <w:rsid w:val="00B16F66"/>
    <w:rsid w:val="00B25720"/>
    <w:rsid w:val="00B25CAA"/>
    <w:rsid w:val="00B408ED"/>
    <w:rsid w:val="00B468C3"/>
    <w:rsid w:val="00B56569"/>
    <w:rsid w:val="00B83FAC"/>
    <w:rsid w:val="00B843EC"/>
    <w:rsid w:val="00B864F4"/>
    <w:rsid w:val="00B90CD1"/>
    <w:rsid w:val="00B90F4C"/>
    <w:rsid w:val="00BA0FE8"/>
    <w:rsid w:val="00BA52DC"/>
    <w:rsid w:val="00BB153B"/>
    <w:rsid w:val="00BB1541"/>
    <w:rsid w:val="00BC307C"/>
    <w:rsid w:val="00BC69C3"/>
    <w:rsid w:val="00BD4BC4"/>
    <w:rsid w:val="00BD5BD1"/>
    <w:rsid w:val="00BD6CD2"/>
    <w:rsid w:val="00BE235F"/>
    <w:rsid w:val="00BF15CD"/>
    <w:rsid w:val="00BF27D4"/>
    <w:rsid w:val="00C20AB4"/>
    <w:rsid w:val="00C3454E"/>
    <w:rsid w:val="00C45A4E"/>
    <w:rsid w:val="00C528F2"/>
    <w:rsid w:val="00C52B7F"/>
    <w:rsid w:val="00C5411A"/>
    <w:rsid w:val="00C56D06"/>
    <w:rsid w:val="00C61602"/>
    <w:rsid w:val="00C63709"/>
    <w:rsid w:val="00C76B31"/>
    <w:rsid w:val="00C76D0C"/>
    <w:rsid w:val="00C83D95"/>
    <w:rsid w:val="00C84872"/>
    <w:rsid w:val="00C8563D"/>
    <w:rsid w:val="00C912E5"/>
    <w:rsid w:val="00C936A0"/>
    <w:rsid w:val="00C95F68"/>
    <w:rsid w:val="00CB5F02"/>
    <w:rsid w:val="00CC2358"/>
    <w:rsid w:val="00CD5E18"/>
    <w:rsid w:val="00CE02A5"/>
    <w:rsid w:val="00CE3D62"/>
    <w:rsid w:val="00CF62E7"/>
    <w:rsid w:val="00D01AFC"/>
    <w:rsid w:val="00D02F88"/>
    <w:rsid w:val="00D05123"/>
    <w:rsid w:val="00D15DD2"/>
    <w:rsid w:val="00D33226"/>
    <w:rsid w:val="00D33B44"/>
    <w:rsid w:val="00D4449D"/>
    <w:rsid w:val="00D463CE"/>
    <w:rsid w:val="00D609FE"/>
    <w:rsid w:val="00D64195"/>
    <w:rsid w:val="00D643D5"/>
    <w:rsid w:val="00D679B5"/>
    <w:rsid w:val="00D72DA8"/>
    <w:rsid w:val="00D779C5"/>
    <w:rsid w:val="00D824EA"/>
    <w:rsid w:val="00D825CF"/>
    <w:rsid w:val="00DB0A2B"/>
    <w:rsid w:val="00DB6951"/>
    <w:rsid w:val="00DC37C1"/>
    <w:rsid w:val="00DD498C"/>
    <w:rsid w:val="00DD61A3"/>
    <w:rsid w:val="00DE761E"/>
    <w:rsid w:val="00E0091A"/>
    <w:rsid w:val="00E07722"/>
    <w:rsid w:val="00E10F20"/>
    <w:rsid w:val="00E1731B"/>
    <w:rsid w:val="00E22CC1"/>
    <w:rsid w:val="00E424A0"/>
    <w:rsid w:val="00E42809"/>
    <w:rsid w:val="00E447DE"/>
    <w:rsid w:val="00E537FC"/>
    <w:rsid w:val="00E54419"/>
    <w:rsid w:val="00E5484A"/>
    <w:rsid w:val="00E627A8"/>
    <w:rsid w:val="00E64EA1"/>
    <w:rsid w:val="00E654D6"/>
    <w:rsid w:val="00E70DE4"/>
    <w:rsid w:val="00E711A1"/>
    <w:rsid w:val="00E868B4"/>
    <w:rsid w:val="00E900F6"/>
    <w:rsid w:val="00E9352F"/>
    <w:rsid w:val="00EA22EE"/>
    <w:rsid w:val="00EA6644"/>
    <w:rsid w:val="00EB0901"/>
    <w:rsid w:val="00EC024C"/>
    <w:rsid w:val="00EC072E"/>
    <w:rsid w:val="00EC5A51"/>
    <w:rsid w:val="00ED2D1D"/>
    <w:rsid w:val="00ED4EC0"/>
    <w:rsid w:val="00ED5823"/>
    <w:rsid w:val="00ED6244"/>
    <w:rsid w:val="00EE1261"/>
    <w:rsid w:val="00EE13AC"/>
    <w:rsid w:val="00EE1D12"/>
    <w:rsid w:val="00EF4AC0"/>
    <w:rsid w:val="00EF60EE"/>
    <w:rsid w:val="00F01620"/>
    <w:rsid w:val="00F20E58"/>
    <w:rsid w:val="00F24C40"/>
    <w:rsid w:val="00F24FCF"/>
    <w:rsid w:val="00F33950"/>
    <w:rsid w:val="00F35344"/>
    <w:rsid w:val="00F36851"/>
    <w:rsid w:val="00F56BA5"/>
    <w:rsid w:val="00F70026"/>
    <w:rsid w:val="00F86858"/>
    <w:rsid w:val="00F90DC5"/>
    <w:rsid w:val="00F9205D"/>
    <w:rsid w:val="00F95A3F"/>
    <w:rsid w:val="00F977A6"/>
    <w:rsid w:val="00FB1A36"/>
    <w:rsid w:val="00FB45F4"/>
    <w:rsid w:val="00FC013E"/>
    <w:rsid w:val="00FC178B"/>
    <w:rsid w:val="00FC56CB"/>
    <w:rsid w:val="00FC6E2D"/>
    <w:rsid w:val="00FD11C1"/>
    <w:rsid w:val="00FD5623"/>
    <w:rsid w:val="00FE76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52B7"/>
  <w15:chartTrackingRefBased/>
  <w15:docId w15:val="{F38E517C-0D85-4628-B3DB-D3926DED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65A1"/>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063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63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6391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6391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6391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6391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391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391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391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391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6391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6391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6391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6391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639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391D"/>
    <w:rPr>
      <w:rFonts w:eastAsiaTheme="majorEastAsia" w:cstheme="majorBidi"/>
      <w:color w:val="595959" w:themeColor="text1" w:themeTint="A6"/>
    </w:rPr>
  </w:style>
  <w:style w:type="character" w:customStyle="1" w:styleId="80">
    <w:name w:val="Заголовок 8 Знак"/>
    <w:basedOn w:val="a0"/>
    <w:link w:val="8"/>
    <w:uiPriority w:val="9"/>
    <w:semiHidden/>
    <w:rsid w:val="000639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391D"/>
    <w:rPr>
      <w:rFonts w:eastAsiaTheme="majorEastAsia" w:cstheme="majorBidi"/>
      <w:color w:val="272727" w:themeColor="text1" w:themeTint="D8"/>
    </w:rPr>
  </w:style>
  <w:style w:type="paragraph" w:styleId="a3">
    <w:name w:val="Title"/>
    <w:basedOn w:val="a"/>
    <w:next w:val="a"/>
    <w:link w:val="a4"/>
    <w:uiPriority w:val="10"/>
    <w:qFormat/>
    <w:rsid w:val="0006391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639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9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639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391D"/>
    <w:pPr>
      <w:spacing w:before="160"/>
      <w:jc w:val="center"/>
    </w:pPr>
    <w:rPr>
      <w:i/>
      <w:iCs/>
      <w:color w:val="404040" w:themeColor="text1" w:themeTint="BF"/>
    </w:rPr>
  </w:style>
  <w:style w:type="character" w:customStyle="1" w:styleId="22">
    <w:name w:val="Цитата 2 Знак"/>
    <w:basedOn w:val="a0"/>
    <w:link w:val="21"/>
    <w:uiPriority w:val="29"/>
    <w:rsid w:val="0006391D"/>
    <w:rPr>
      <w:i/>
      <w:iCs/>
      <w:color w:val="404040" w:themeColor="text1" w:themeTint="BF"/>
    </w:rPr>
  </w:style>
  <w:style w:type="paragraph" w:styleId="a7">
    <w:name w:val="List Paragraph"/>
    <w:basedOn w:val="a"/>
    <w:uiPriority w:val="34"/>
    <w:qFormat/>
    <w:rsid w:val="0006391D"/>
    <w:pPr>
      <w:ind w:left="720"/>
      <w:contextualSpacing/>
    </w:pPr>
  </w:style>
  <w:style w:type="character" w:styleId="a8">
    <w:name w:val="Intense Emphasis"/>
    <w:basedOn w:val="a0"/>
    <w:uiPriority w:val="21"/>
    <w:qFormat/>
    <w:rsid w:val="0006391D"/>
    <w:rPr>
      <w:i/>
      <w:iCs/>
      <w:color w:val="2F5496" w:themeColor="accent1" w:themeShade="BF"/>
    </w:rPr>
  </w:style>
  <w:style w:type="paragraph" w:styleId="a9">
    <w:name w:val="Intense Quote"/>
    <w:basedOn w:val="a"/>
    <w:next w:val="a"/>
    <w:link w:val="aa"/>
    <w:uiPriority w:val="30"/>
    <w:qFormat/>
    <w:rsid w:val="00063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6391D"/>
    <w:rPr>
      <w:i/>
      <w:iCs/>
      <w:color w:val="2F5496" w:themeColor="accent1" w:themeShade="BF"/>
    </w:rPr>
  </w:style>
  <w:style w:type="character" w:styleId="ab">
    <w:name w:val="Intense Reference"/>
    <w:basedOn w:val="a0"/>
    <w:uiPriority w:val="32"/>
    <w:qFormat/>
    <w:rsid w:val="0006391D"/>
    <w:rPr>
      <w:b/>
      <w:bCs/>
      <w:smallCaps/>
      <w:color w:val="2F5496" w:themeColor="accent1" w:themeShade="BF"/>
      <w:spacing w:val="5"/>
    </w:rPr>
  </w:style>
  <w:style w:type="paragraph" w:customStyle="1" w:styleId="11">
    <w:name w:val="Абзац списка1"/>
    <w:basedOn w:val="a"/>
    <w:rsid w:val="000565A1"/>
    <w:pPr>
      <w:spacing w:after="200" w:line="276" w:lineRule="auto"/>
      <w:ind w:left="720"/>
    </w:pPr>
    <w:rPr>
      <w:rFonts w:ascii="Calibri" w:hAnsi="Calibri"/>
      <w:sz w:val="22"/>
      <w:szCs w:val="22"/>
      <w:lang w:eastAsia="en-US"/>
    </w:rPr>
  </w:style>
  <w:style w:type="paragraph" w:customStyle="1" w:styleId="msonormalcxspmiddle">
    <w:name w:val="msonormalcxspmiddle"/>
    <w:basedOn w:val="a"/>
    <w:rsid w:val="000565A1"/>
    <w:pPr>
      <w:spacing w:before="100" w:beforeAutospacing="1" w:after="100" w:afterAutospacing="1"/>
    </w:pPr>
  </w:style>
  <w:style w:type="character" w:styleId="ac">
    <w:name w:val="Hyperlink"/>
    <w:rsid w:val="000565A1"/>
    <w:rPr>
      <w:rFonts w:cs="Times New Roman"/>
      <w:color w:val="0000FF"/>
      <w:u w:val="single"/>
    </w:rPr>
  </w:style>
  <w:style w:type="character" w:customStyle="1" w:styleId="hps">
    <w:name w:val="hps"/>
    <w:basedOn w:val="a0"/>
    <w:rsid w:val="000565A1"/>
  </w:style>
  <w:style w:type="character" w:customStyle="1" w:styleId="shorttext">
    <w:name w:val="shorttext"/>
    <w:basedOn w:val="a0"/>
    <w:rsid w:val="000565A1"/>
  </w:style>
  <w:style w:type="character" w:styleId="ad">
    <w:name w:val="annotation reference"/>
    <w:rsid w:val="000565A1"/>
    <w:rPr>
      <w:sz w:val="16"/>
      <w:szCs w:val="16"/>
    </w:rPr>
  </w:style>
  <w:style w:type="paragraph" w:styleId="ae">
    <w:name w:val="annotation text"/>
    <w:basedOn w:val="a"/>
    <w:link w:val="af"/>
    <w:rsid w:val="000565A1"/>
    <w:rPr>
      <w:sz w:val="20"/>
      <w:szCs w:val="20"/>
    </w:rPr>
  </w:style>
  <w:style w:type="character" w:customStyle="1" w:styleId="af">
    <w:name w:val="Текст примечания Знак"/>
    <w:basedOn w:val="a0"/>
    <w:link w:val="ae"/>
    <w:rsid w:val="000565A1"/>
    <w:rPr>
      <w:rFonts w:ascii="Times New Roman" w:eastAsia="Times New Roman" w:hAnsi="Times New Roman" w:cs="Times New Roman"/>
      <w:kern w:val="0"/>
      <w:sz w:val="20"/>
      <w:szCs w:val="20"/>
      <w:lang w:eastAsia="ru-RU"/>
      <w14:ligatures w14:val="none"/>
    </w:rPr>
  </w:style>
  <w:style w:type="character" w:customStyle="1" w:styleId="12">
    <w:name w:val="Неразрешенное упоминание1"/>
    <w:basedOn w:val="a0"/>
    <w:uiPriority w:val="99"/>
    <w:semiHidden/>
    <w:unhideWhenUsed/>
    <w:rsid w:val="00027198"/>
    <w:rPr>
      <w:color w:val="605E5C"/>
      <w:shd w:val="clear" w:color="auto" w:fill="E1DFDD"/>
    </w:rPr>
  </w:style>
  <w:style w:type="character" w:styleId="af0">
    <w:name w:val="FollowedHyperlink"/>
    <w:basedOn w:val="a0"/>
    <w:uiPriority w:val="99"/>
    <w:semiHidden/>
    <w:unhideWhenUsed/>
    <w:rsid w:val="00AC1094"/>
    <w:rPr>
      <w:color w:val="954F72" w:themeColor="followedHyperlink"/>
      <w:u w:val="single"/>
    </w:rPr>
  </w:style>
  <w:style w:type="table" w:styleId="af1">
    <w:name w:val="Table Grid"/>
    <w:basedOn w:val="a1"/>
    <w:uiPriority w:val="39"/>
    <w:rsid w:val="00BF1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4B6D35"/>
    <w:pPr>
      <w:spacing w:after="200"/>
    </w:pPr>
    <w:rPr>
      <w:i/>
      <w:iCs/>
      <w:color w:val="44546A" w:themeColor="text2"/>
      <w:sz w:val="18"/>
      <w:szCs w:val="18"/>
    </w:rPr>
  </w:style>
  <w:style w:type="paragraph" w:styleId="HTML">
    <w:name w:val="HTML Preformatted"/>
    <w:basedOn w:val="a"/>
    <w:link w:val="HTML0"/>
    <w:uiPriority w:val="99"/>
    <w:semiHidden/>
    <w:unhideWhenUsed/>
    <w:rsid w:val="00E868B4"/>
    <w:rPr>
      <w:rFonts w:ascii="Consolas" w:hAnsi="Consolas"/>
      <w:sz w:val="20"/>
      <w:szCs w:val="20"/>
    </w:rPr>
  </w:style>
  <w:style w:type="character" w:customStyle="1" w:styleId="HTML0">
    <w:name w:val="Стандартный HTML Знак"/>
    <w:basedOn w:val="a0"/>
    <w:link w:val="HTML"/>
    <w:uiPriority w:val="99"/>
    <w:semiHidden/>
    <w:rsid w:val="00E868B4"/>
    <w:rPr>
      <w:rFonts w:ascii="Consolas" w:eastAsia="Times New Roman" w:hAnsi="Consolas" w:cs="Times New Roman"/>
      <w:kern w:val="0"/>
      <w:sz w:val="20"/>
      <w:szCs w:val="20"/>
      <w:lang w:eastAsia="ru-RU"/>
      <w14:ligatures w14:val="none"/>
    </w:rPr>
  </w:style>
  <w:style w:type="paragraph" w:customStyle="1" w:styleId="af3">
    <w:name w:val="Анотация"/>
    <w:basedOn w:val="a"/>
    <w:qFormat/>
    <w:rsid w:val="00E42809"/>
    <w:pPr>
      <w:spacing w:before="120" w:after="200"/>
      <w:jc w:val="both"/>
    </w:pPr>
    <w:rPr>
      <w:rFonts w:eastAsia="MS Mincho"/>
      <w:bCs/>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504730.2504747" TargetMode="External"/><Relationship Id="rId13" Type="http://schemas.openxmlformats.org/officeDocument/2006/relationships/hyperlink" Target="https://doi.org/10.3390/app15158330" TargetMode="External"/><Relationship Id="rId3" Type="http://schemas.openxmlformats.org/officeDocument/2006/relationships/settings" Target="settings.xml"/><Relationship Id="rId7" Type="http://schemas.openxmlformats.org/officeDocument/2006/relationships/hyperlink" Target="https://bitcoin.org/bitcoin.pdf?utm_source=chatgpt.com" TargetMode="External"/><Relationship Id="rId12" Type="http://schemas.openxmlformats.org/officeDocument/2006/relationships/hyperlink" Target="https://doi.org/10.1007/s11063-022-10904-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gotem100017@gmail.com" TargetMode="External"/><Relationship Id="rId11" Type="http://schemas.openxmlformats.org/officeDocument/2006/relationships/hyperlink" Target="https://arxiv.org/abs/2102.13613?utm_source=chatgpt.com" TargetMode="External"/><Relationship Id="rId5" Type="http://schemas.openxmlformats.org/officeDocument/2006/relationships/hyperlink" Target="mailto:gotem100017@gmail.com" TargetMode="External"/><Relationship Id="rId15" Type="http://schemas.openxmlformats.org/officeDocument/2006/relationships/fontTable" Target="fontTable.xml"/><Relationship Id="rId10" Type="http://schemas.openxmlformats.org/officeDocument/2006/relationships/hyperlink" Target="https://www.usenix.org/conference/usenixsecurity20/presentation/kalodner?utm_source=chatgpt.com" TargetMode="External"/><Relationship Id="rId4" Type="http://schemas.openxmlformats.org/officeDocument/2006/relationships/webSettings" Target="webSettings.xml"/><Relationship Id="rId9" Type="http://schemas.openxmlformats.org/officeDocument/2006/relationships/hyperlink" Target="https://arxiv.org/abs/1908.02591?utm_source=chatgpt.com" TargetMode="External"/><Relationship Id="rId14" Type="http://schemas.openxmlformats.org/officeDocument/2006/relationships/hyperlink" Target="https://www.fatf-gafi.org/content/dam/fatf/documents/recommendations/Virtual-Assets-Red-Flag-Indicators.pdf?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2978</Words>
  <Characters>16978</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kiruxa</dc:creator>
  <cp:keywords/>
  <dc:description/>
  <cp:lastModifiedBy>kiruxa</cp:lastModifiedBy>
  <cp:revision>2</cp:revision>
  <dcterms:created xsi:type="dcterms:W3CDTF">2026-04-10T14:48:00Z</dcterms:created>
  <dcterms:modified xsi:type="dcterms:W3CDTF">2026-04-10T14:48:00Z</dcterms:modified>
</cp:coreProperties>
</file>