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09FD" w14:textId="23F80BC0" w:rsidR="006A304A" w:rsidRDefault="00013A09" w:rsidP="00013A09">
      <w:pPr>
        <w:spacing w:after="0" w:line="360" w:lineRule="auto"/>
        <w:jc w:val="center"/>
        <w:rPr>
          <w:rFonts w:ascii="Times New Roman" w:hAnsi="Times New Roman" w:cs="Times New Roman"/>
          <w:b/>
          <w:sz w:val="32"/>
        </w:rPr>
      </w:pPr>
      <w:r>
        <w:rPr>
          <w:rFonts w:ascii="Times New Roman" w:hAnsi="Times New Roman" w:cs="Times New Roman"/>
          <w:b/>
          <w:sz w:val="32"/>
        </w:rPr>
        <w:t>LITERATURE REVIEW</w:t>
      </w:r>
    </w:p>
    <w:p w14:paraId="38EFC1B6" w14:textId="60E72E45" w:rsidR="00013A09" w:rsidRDefault="00013A09" w:rsidP="00013A09">
      <w:pPr>
        <w:spacing w:after="0" w:line="360" w:lineRule="auto"/>
        <w:jc w:val="center"/>
        <w:rPr>
          <w:rFonts w:ascii="Times New Roman" w:hAnsi="Times New Roman" w:cs="Times New Roman"/>
          <w:b/>
          <w:sz w:val="28"/>
        </w:rPr>
      </w:pPr>
      <w:r>
        <w:rPr>
          <w:rFonts w:ascii="Times New Roman" w:hAnsi="Times New Roman" w:cs="Times New Roman"/>
          <w:b/>
          <w:sz w:val="28"/>
        </w:rPr>
        <w:t>Market entry strategy for Salmon's international expansion:</w:t>
      </w:r>
    </w:p>
    <w:p w14:paraId="794637AA" w14:textId="15D26CA5" w:rsidR="00013A09" w:rsidRDefault="00013A09" w:rsidP="00013A09">
      <w:pPr>
        <w:spacing w:after="0" w:line="360" w:lineRule="auto"/>
        <w:jc w:val="center"/>
        <w:rPr>
          <w:rFonts w:ascii="Times New Roman" w:hAnsi="Times New Roman" w:cs="Times New Roman"/>
          <w:b/>
          <w:sz w:val="28"/>
        </w:rPr>
      </w:pPr>
      <w:r>
        <w:rPr>
          <w:rFonts w:ascii="Times New Roman" w:hAnsi="Times New Roman" w:cs="Times New Roman"/>
          <w:b/>
          <w:sz w:val="28"/>
        </w:rPr>
        <w:t>a thematic review of the evidence</w:t>
      </w:r>
    </w:p>
    <w:p w14:paraId="196E1629" w14:textId="2F54EDE6" w:rsidR="00013A09" w:rsidRDefault="00013A09" w:rsidP="00013A09">
      <w:pPr>
        <w:spacing w:after="0" w:line="360" w:lineRule="auto"/>
        <w:jc w:val="center"/>
        <w:rPr>
          <w:rFonts w:ascii="Times New Roman" w:hAnsi="Times New Roman" w:cs="Times New Roman"/>
          <w:sz w:val="28"/>
        </w:rPr>
      </w:pPr>
      <w:r>
        <w:rPr>
          <w:rFonts w:ascii="Times New Roman" w:hAnsi="Times New Roman" w:cs="Times New Roman"/>
          <w:sz w:val="28"/>
        </w:rPr>
        <w:t>Bachelor Thesis — Literature Review Chapter</w:t>
      </w:r>
    </w:p>
    <w:p w14:paraId="2FF3E222" w14:textId="3A370320" w:rsidR="00013A09" w:rsidRDefault="00013A09" w:rsidP="00013A09">
      <w:pPr>
        <w:spacing w:after="0" w:line="360" w:lineRule="auto"/>
        <w:jc w:val="center"/>
        <w:rPr>
          <w:rFonts w:ascii="Times New Roman" w:hAnsi="Times New Roman" w:cs="Times New Roman"/>
          <w:sz w:val="28"/>
        </w:rPr>
      </w:pPr>
      <w:r>
        <w:rPr>
          <w:rFonts w:ascii="Times New Roman" w:hAnsi="Times New Roman" w:cs="Times New Roman"/>
          <w:sz w:val="28"/>
        </w:rPr>
        <w:t>Date: March 2026</w:t>
      </w:r>
    </w:p>
    <w:p w14:paraId="1D543F94" w14:textId="77777777" w:rsidR="00013A09" w:rsidRDefault="00013A09" w:rsidP="00013A09">
      <w:pPr>
        <w:spacing w:after="0" w:line="360" w:lineRule="auto"/>
        <w:jc w:val="center"/>
        <w:rPr>
          <w:rFonts w:ascii="Times New Roman" w:hAnsi="Times New Roman" w:cs="Times New Roman"/>
          <w:sz w:val="28"/>
        </w:rPr>
      </w:pPr>
    </w:p>
    <w:p w14:paraId="61C72E0D" w14:textId="313E9AB1" w:rsidR="00013A09" w:rsidRDefault="00013A09" w:rsidP="00013A09">
      <w:pPr>
        <w:spacing w:after="0" w:line="360" w:lineRule="auto"/>
        <w:rPr>
          <w:rFonts w:ascii="Times New Roman" w:hAnsi="Times New Roman" w:cs="Times New Roman"/>
          <w:b/>
          <w:sz w:val="28"/>
        </w:rPr>
      </w:pPr>
      <w:r>
        <w:rPr>
          <w:rFonts w:ascii="Times New Roman" w:hAnsi="Times New Roman" w:cs="Times New Roman"/>
          <w:b/>
          <w:sz w:val="28"/>
        </w:rPr>
        <w:t>INTRODUCTION</w:t>
      </w:r>
    </w:p>
    <w:p w14:paraId="144E90BC" w14:textId="3A9CBC31"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79% of Vietnamese adults had no formal bank account as of 2021 [17]. Mobile phone penetration in the same country crossed 73% that year, and the country's alternative lending market was already worth $8.68B, on a trajectory to reach $16.63B by 2029 at a compounded annual growth rate of 13.8% [29]. The gap between the two numbers is not accidental. A population that primarily transacts through mobile devices but lacks formal credit access is the structural condition that consumer lending FinTech platforms are built to address.</w:t>
      </w:r>
    </w:p>
    <w:p w14:paraId="7012D474" w14:textId="3E229437"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Salmon Group Limited is precisely that kind of platform. Founded in July 2022 by George Chesakov, Pavel Fedorov and Raffy Montemayor, Salmon operates in the Philippines as a credit-led FinTech company combining AI-based credit scoring with consumer loan products delivered through a mobile application. The company holds a rural banking license through the Rural Bank of Sta. Rosa Laguna Inc. and has raised $88M in total financing as of 2025, including a $60M bond facility under a three-year $150M Nordic bond framework and $28M in new equity [20]. Its investors include the International Finance Corporation (IFC), ADQ/Lunate, Antler Elevate and Northstar. The company has stated an intention to expand across Southeast Asia but has not announced a specific target market.</w:t>
      </w:r>
    </w:p>
    <w:p w14:paraId="4ECC82EB" w14:textId="50B47BBB"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This review identifies Vietnam as the analytically justified first expansion target, through a comparative assessment of four principal ASEAN candidate markets presented in Section 3. The analysis draws on five intersecting bodies of scholarship: classical and contemporary market entry theory; the emerging literature on FinTech internationalization; Southeast Asian financial inclusion and market structure; consumer adoption of digital financial services; and regulatory </w:t>
      </w:r>
      <w:r>
        <w:rPr>
          <w:rFonts w:ascii="Times New Roman" w:hAnsi="Times New Roman" w:cs="Times New Roman"/>
          <w:sz w:val="28"/>
        </w:rPr>
        <w:lastRenderedPageBreak/>
        <w:t>frameworks specific to FinTech platforms. The research gap identified in the final section follows directly from the synthesis of those bodies of work rather than from an assertion about what the literature lacks.</w:t>
      </w:r>
    </w:p>
    <w:p w14:paraId="6BA11399" w14:textId="3FF2F433"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review is organized as follows. Section 1 surveys the theoretical landscape of market entry strategy, from the Uppsala model through to transaction cost theory, and evaluates each framework's applicability to a digital-native consumer lending platform. Section 2 examines what the growing literature on FinTech internationalization contributes to and departs from those classical frameworks. Section 3 applies those insights to Southeast Asia, building the case for Vietnam through a comparative market analysis. Sections 4 and 5 address, respectively, the demand-side question of consumer adoption and the supply-side constraint of regulatory architecture. Section 6 considers the practical entry mode choice against the competitive landscape Salmon would face in Vietnam. Section 7 derives the research gap from what the prior sections reveal is absent.</w:t>
      </w:r>
    </w:p>
    <w:p w14:paraId="1D42D505" w14:textId="27F2E1DB" w:rsidR="00013A09" w:rsidRDefault="00013A09" w:rsidP="00013A09">
      <w:pPr>
        <w:spacing w:after="0" w:line="360" w:lineRule="auto"/>
        <w:rPr>
          <w:rFonts w:ascii="Times New Roman" w:hAnsi="Times New Roman" w:cs="Times New Roman"/>
          <w:b/>
          <w:sz w:val="28"/>
        </w:rPr>
      </w:pPr>
      <w:r>
        <w:rPr>
          <w:rFonts w:ascii="Times New Roman" w:hAnsi="Times New Roman" w:cs="Times New Roman"/>
          <w:b/>
          <w:sz w:val="28"/>
        </w:rPr>
        <w:t>SECTION 1: Theoretical foundations of market entry strategy</w:t>
      </w:r>
    </w:p>
    <w:p w14:paraId="4CF678F8" w14:textId="3358E081"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literature on how firms expand internationally dates to the early 1970s, and it converges on a set of tensions that no single framework has fully resolved. Two questions recur through the body of work: why do firms commit to foreign direct investment rather than licensing or exporting; and how do they decide what form that commitment should take? The answers vary depending on whether a framework prioritizes firm-level capabilities, transaction costs, institutional distance or the velocity at which a digital platform can replicate its operating model across borders.</w:t>
      </w:r>
    </w:p>
    <w:p w14:paraId="4AF3FFA4" w14:textId="482A71D2"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The Uppsala model, first articulated by Johanson and Vahlne in 1977 [1], treated internationalization as a learning process. Firms accumulate experiential knowledge of a foreign market gradually, which reduces the perceived uncertainty of deeper commitment. The model predicted a behavioral sequence from occasional export activity through a sales subsidiary to a full production subsidiary, with psychic distance (the cultural, linguistic and institutional dissimilarity between home and target country) determining the order in which markets were entered. The </w:t>
      </w:r>
      <w:r>
        <w:rPr>
          <w:rFonts w:ascii="Times New Roman" w:hAnsi="Times New Roman" w:cs="Times New Roman"/>
          <w:sz w:val="28"/>
        </w:rPr>
        <w:lastRenderedPageBreak/>
        <w:t>framework's strength is its empirical grounding in Swedish manufacturing companies of the 1960s and 1970s. Its limitation is also a function of that grounding: it was built for a world where market knowledge required physical proximity, and where the marginal cost of entering an additional geography was substantial. Neither condition describes Salmon's situation.</w:t>
      </w:r>
    </w:p>
    <w:p w14:paraId="59F51F3B" w14:textId="46319A55"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Johanson and Vahlne themselves acknowledged part of this problem in a 2009 revision [2]. They replaced "psychic distance" with "liability of outsidership," arguing that what firms actually face is exclusion from the networks and relationships that govern how business is done in the target market. That reformulation is considerably more applicable to a FinTech consumer lender than the original model. Salmon's obstacle in Vietnam is not primarily cultural distance -- both the Philippines and Vietnam are mid-income Southeast Asian economies with young, mobile-fluent consumer populations and comparable levels of institutional development. The obstacle is Salmon's absence from the regulatory and banking networks that determine whether a foreign consumer lender can access credit bureau data, partner with a licensed Vietnamese financial institution, or operate within the terms of a state-issued sandbox. Outsidership, not cultural distance, is the operative concept for this type of firm.</w:t>
      </w:r>
    </w:p>
    <w:p w14:paraId="60D1D2B9" w14:textId="6FE25D51"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But the 2009 revision has its own limitation. Johanson and Vahlne [2] retained the basic assumption that internationalization is a gradual process driven by incremental commitment. That assumption does not describe the class of digital-native firms that Oviatt and McDougall [4] termed International New Ventures in 1994. Oviatt and McDougall observed that a growing category of firms, particularly those built around knowledge and technology, was internationalizing at or near founding rather than following the Uppsala sequence. Their explanation was not that these firms were reckless but that their competitive advantage depended on rapid scale. In industries structured by network effects, the value of a credit scoring infrastructure increases with the number of borrowers it has priced, and that value does not respect national boundaries. Salmon raised its first external capital before achieving domestic profitability, which is the archetypal International New Venture </w:t>
      </w:r>
      <w:r>
        <w:rPr>
          <w:rFonts w:ascii="Times New Roman" w:hAnsi="Times New Roman" w:cs="Times New Roman"/>
          <w:sz w:val="28"/>
        </w:rPr>
        <w:lastRenderedPageBreak/>
        <w:t>pattern [4]. Its IFC backing also exerts directional pressure toward multi-market deployment, since IFC's mandate encompasses financial inclusion in developing markets across the region [20], not only in the Philippines.</w:t>
      </w:r>
    </w:p>
    <w:p w14:paraId="07EE18E6" w14:textId="1A867184"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Dunning's Ownership-Location-Internalisation paradigm [3] provides the most structured analytical tool for evaluating the entry decision itself. The OLI framework asks when a firm should commit to foreign direct investment rather than licensing or exporting. The answer depends on three conditions being simultaneously favorable. The firm must possess an Ownership advantage (an asset that local competitors cannot easily replicate); the target Location must offer advantages unavailable at home; and Internalizing the technology within the firm's own structure must be cheaper than licensing it out to a third party.</w:t>
      </w:r>
    </w:p>
    <w:p w14:paraId="2D69A726" w14:textId="5C85506F"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Salmon's Ownership advantage is its AI credit scoring infrastructure, which uses alternative data sources (transaction histories, behavioral signals, mobile usage patterns) to approve loans for borrowers who have never appeared in a formal credit bureau. That capability is difficult to replicate quickly: it requires both a proprietary algorithmic model and a dataset of credit performance observations to train that model. In Vietnam, where the National Credit Information Center (CIC) covers fewer than 30% of adults, bureau-based underwriting is simply unavailable for the majority of the addressable population. Salmon's scoring model, trained on Philippine borrower data, does not transfer automatically to Vietnamese market conditions -- the behavioral signals that predict repayment differ between markets -- but the capability architecture is portable, and the local training dataset can be built over the first 12-18 months of operation.</w:t>
      </w:r>
    </w:p>
    <w:p w14:paraId="1AB861B6" w14:textId="28C719B3"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Vietnam's Location advantages are substantial. 79% of adults are unbanked or underbanked [17]; the alternative lending market was worth $8.68B in 2024 and is growing at 13.8% per year [29]; and a regulatory sandbox, created by Decree 94/2025 [26], now provides a structured market entry path for foreign FinTech companies that simply did not exist before February 2025. The Internalisation question is more complex and is addressed in Section 6, but the basic OLI verdict is that the conditions for foreign direct investment are present.</w:t>
      </w:r>
    </w:p>
    <w:p w14:paraId="00E5017E" w14:textId="3A4AF334"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Barney's Resource-Based View [5] adds precision to the competitive analysis that OLI does not provide. Also, it shifts the analytical focus from country conditions to firm- level assets, which matters when the central question is not "is Vietnam a good market" but "does Salmon have something that Vietnamese incumbents cannot quickly replicate." The RBV holds that sustained competitive advantage rests on resources that are valuable, rare, difficult to imitate and not substitutable by an equivalent resource. Salmon's alternative-data credit infrastructure meets three of those conditions with reasonable confidence. It is valuable in thin-bureau markets. It is rare, in that most incumbents in Vietnam's consumer lending market are traditional consumer finance companies that rely on income documentation rather than behavioral data; GE Capital (now FE Credit), Prudential Finance and Home Credit built their Vietnamese operations around branch-based document collection, not mobile data inference. Whether the infrastructure is fully inimitable is the more contested question. Chinese digital lending platforms that entered Southeast Asian markets between 2016 and 2020 developed comparable alternative-data approaches, but most retreated or were acquired under regulatory pressure after 2021. The competitive landscape they left behind is thinner than it appeared in 2019.</w:t>
      </w:r>
    </w:p>
    <w:p w14:paraId="669F94DE" w14:textId="32D45D05"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Williamson's Transaction Cost Theory [6] adds a governance dimension that the preceding frameworks mostly ignore. TCT predicts that when the technology being deployed is highly asset-specific (customized to the firm's own data infrastructure and processes) and the contracting environment is uncertain, hierarchy (ownership) is preferred over market contracts (licensing). Both conditions apply to Salmon's situation. Its credit scoring model is not a commodity technology that can be licensed to a Vietnamese partner without transferring substantial proprietary knowledge and data. And Vietnam's regulatory framework, while clearer since Decree 94/2025 resolved some of the uncertainty, still imposes ownership constraints on consumer lending licenses that make contracting complex. The TCT prediction is that Salmon should seek to own as much of its Vietnamese operation as regulations permit, rather than licensing its technology to a local operator and hoping the contract captures the full value of its advantage.</w:t>
      </w:r>
    </w:p>
    <w:p w14:paraId="06CE28BE" w14:textId="3FBF4236"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Contractor [8] offers a useful corrective to the optimism that Born Global theory and OLI can generate. His analysis of the multi-stage theory versus transaction cost approaches finds that companies that internationalize too rapidly, before building sufficient local operational knowledge and regulatory credibility, incur restructuring costs that frequently exceed the revenue foregone from a slower entry. That observation is directly relevant to Salmon: Vietnam's sandbox framework effectively institutionalizes a learning period by restricting full commercial operations to licensed players, and Salmon cannot be licensed before completing a sandbox pilot. The regulatory structure, in this reading, is not merely a compliance burden. It is a built-in safeguard against premature scale.</w:t>
      </w:r>
    </w:p>
    <w:p w14:paraId="0E30A47D" w14:textId="7B22FB3D"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Table 1 presents the five frameworks against the dimensions most relevant to Salmon's</w:t>
      </w:r>
    </w:p>
    <w:p w14:paraId="03C23743" w14:textId="4CCEAD5A"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specific market entry decision.</w:t>
      </w:r>
    </w:p>
    <w:p w14:paraId="536FACB3" w14:textId="7E4130A8"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Table 1 — Theoretical frameworks for market entry strategy: comparison</w:t>
      </w:r>
    </w:p>
    <w:tbl>
      <w:tblPr>
        <w:tblW w:w="0" w:type="auto"/>
        <w:tblLook w:val="0000" w:firstRow="0" w:lastRow="0" w:firstColumn="0" w:lastColumn="0" w:noHBand="0" w:noVBand="0"/>
      </w:tblPr>
      <w:tblGrid>
        <w:gridCol w:w="1871"/>
        <w:gridCol w:w="1871"/>
        <w:gridCol w:w="1871"/>
        <w:gridCol w:w="1871"/>
        <w:gridCol w:w="1871"/>
      </w:tblGrid>
      <w:tr w:rsidR="00013A09" w14:paraId="79B9E7DA" w14:textId="77777777" w:rsidTr="00013A09">
        <w:tblPrEx>
          <w:tblCellMar>
            <w:top w:w="0" w:type="dxa"/>
            <w:bottom w:w="0" w:type="dxa"/>
          </w:tblCellMar>
        </w:tblPrEx>
        <w:tc>
          <w:tcPr>
            <w:tcW w:w="1871" w:type="dxa"/>
          </w:tcPr>
          <w:p w14:paraId="4295A353" w14:textId="0D1BB01A"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Framework</w:t>
            </w:r>
          </w:p>
        </w:tc>
        <w:tc>
          <w:tcPr>
            <w:tcW w:w="1871" w:type="dxa"/>
          </w:tcPr>
          <w:p w14:paraId="01A7845E" w14:textId="7A3F8CAA"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Core logic</w:t>
            </w:r>
          </w:p>
        </w:tc>
        <w:tc>
          <w:tcPr>
            <w:tcW w:w="1871" w:type="dxa"/>
          </w:tcPr>
          <w:p w14:paraId="128DBC21" w14:textId="730450F0"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Key assumption</w:t>
            </w:r>
          </w:p>
        </w:tc>
        <w:tc>
          <w:tcPr>
            <w:tcW w:w="1871" w:type="dxa"/>
          </w:tcPr>
          <w:p w14:paraId="6276F762" w14:textId="07A1F8B5"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Entry mode implication</w:t>
            </w:r>
          </w:p>
        </w:tc>
        <w:tc>
          <w:tcPr>
            <w:tcW w:w="1871" w:type="dxa"/>
          </w:tcPr>
          <w:p w14:paraId="08FD5531" w14:textId="6BCEF26C"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FinTech applicability</w:t>
            </w:r>
          </w:p>
        </w:tc>
      </w:tr>
      <w:tr w:rsidR="00013A09" w14:paraId="0E431388" w14:textId="77777777" w:rsidTr="00013A09">
        <w:tblPrEx>
          <w:tblCellMar>
            <w:top w:w="0" w:type="dxa"/>
            <w:bottom w:w="0" w:type="dxa"/>
          </w:tblCellMar>
        </w:tblPrEx>
        <w:tc>
          <w:tcPr>
            <w:tcW w:w="1871" w:type="dxa"/>
          </w:tcPr>
          <w:p w14:paraId="6C009918" w14:textId="7D36FBB0"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Uppsala [1][2]</w:t>
            </w:r>
          </w:p>
        </w:tc>
        <w:tc>
          <w:tcPr>
            <w:tcW w:w="1871" w:type="dxa"/>
          </w:tcPr>
          <w:p w14:paraId="6DFE1425" w14:textId="416282DA"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Gradual commitment via knowledge</w:t>
            </w:r>
          </w:p>
        </w:tc>
        <w:tc>
          <w:tcPr>
            <w:tcW w:w="1871" w:type="dxa"/>
          </w:tcPr>
          <w:p w14:paraId="4757B4F8" w14:textId="7B42BF08"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Psychic distance decreases with</w:t>
            </w:r>
          </w:p>
        </w:tc>
        <w:tc>
          <w:tcPr>
            <w:tcW w:w="1871" w:type="dxa"/>
          </w:tcPr>
          <w:p w14:paraId="0AC66CBB" w14:textId="4AA78DF1"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Incremental: export to JV</w:t>
            </w:r>
          </w:p>
        </w:tc>
        <w:tc>
          <w:tcPr>
            <w:tcW w:w="1871" w:type="dxa"/>
          </w:tcPr>
          <w:p w14:paraId="79460537" w14:textId="18FD3018"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Partial; "liability of outsidership" applies;</w:t>
            </w:r>
          </w:p>
        </w:tc>
      </w:tr>
      <w:tr w:rsidR="00013A09" w14:paraId="0F3A7FB4" w14:textId="77777777" w:rsidTr="00013A09">
        <w:tblPrEx>
          <w:tblCellMar>
            <w:top w:w="0" w:type="dxa"/>
            <w:bottom w:w="0" w:type="dxa"/>
          </w:tblCellMar>
        </w:tblPrEx>
        <w:tc>
          <w:tcPr>
            <w:tcW w:w="1871" w:type="dxa"/>
          </w:tcPr>
          <w:p w14:paraId="3E510852" w14:textId="442ABE84"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accumulation</w:t>
            </w:r>
          </w:p>
        </w:tc>
        <w:tc>
          <w:tcPr>
            <w:tcW w:w="1871" w:type="dxa"/>
          </w:tcPr>
          <w:p w14:paraId="45B9094E" w14:textId="36DBB7D4"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experience</w:t>
            </w:r>
          </w:p>
        </w:tc>
        <w:tc>
          <w:tcPr>
            <w:tcW w:w="1871" w:type="dxa"/>
          </w:tcPr>
          <w:p w14:paraId="66A6D52B" w14:textId="26280CBE"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to subsidiary</w:t>
            </w:r>
          </w:p>
        </w:tc>
        <w:tc>
          <w:tcPr>
            <w:tcW w:w="1871" w:type="dxa"/>
          </w:tcPr>
          <w:p w14:paraId="294CB8AD" w14:textId="697DAEDC"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digital firms skip stages</w:t>
            </w:r>
          </w:p>
        </w:tc>
        <w:tc>
          <w:tcPr>
            <w:tcW w:w="1871" w:type="dxa"/>
          </w:tcPr>
          <w:p w14:paraId="7F558775" w14:textId="77777777" w:rsidR="00013A09" w:rsidRDefault="00013A09" w:rsidP="00013A09">
            <w:pPr>
              <w:spacing w:after="0" w:line="360" w:lineRule="auto"/>
              <w:rPr>
                <w:rFonts w:ascii="Times New Roman" w:hAnsi="Times New Roman" w:cs="Times New Roman"/>
                <w:sz w:val="28"/>
              </w:rPr>
            </w:pPr>
          </w:p>
        </w:tc>
      </w:tr>
      <w:tr w:rsidR="00013A09" w14:paraId="5AF31BC1" w14:textId="77777777" w:rsidTr="00013A09">
        <w:tblPrEx>
          <w:tblCellMar>
            <w:top w:w="0" w:type="dxa"/>
            <w:bottom w:w="0" w:type="dxa"/>
          </w:tblCellMar>
        </w:tblPrEx>
        <w:tc>
          <w:tcPr>
            <w:tcW w:w="1871" w:type="dxa"/>
          </w:tcPr>
          <w:p w14:paraId="5241DAF4" w14:textId="15AA25F6"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OLI [3]</w:t>
            </w:r>
          </w:p>
        </w:tc>
        <w:tc>
          <w:tcPr>
            <w:tcW w:w="1871" w:type="dxa"/>
          </w:tcPr>
          <w:p w14:paraId="4379B62E" w14:textId="3B7F0165"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FDI when O + L + I advantages align</w:t>
            </w:r>
          </w:p>
        </w:tc>
        <w:tc>
          <w:tcPr>
            <w:tcW w:w="1871" w:type="dxa"/>
          </w:tcPr>
          <w:p w14:paraId="2F4EDFFF" w14:textId="12654DEB"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Firm advantages must exceed costs</w:t>
            </w:r>
          </w:p>
        </w:tc>
        <w:tc>
          <w:tcPr>
            <w:tcW w:w="1871" w:type="dxa"/>
          </w:tcPr>
          <w:p w14:paraId="7FF418F1" w14:textId="536AFC1F"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FDI preferred when all</w:t>
            </w:r>
          </w:p>
        </w:tc>
        <w:tc>
          <w:tcPr>
            <w:tcW w:w="1871" w:type="dxa"/>
          </w:tcPr>
          <w:p w14:paraId="526DD78D" w14:textId="4A57239A"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Strong; well-suited to analyzing Salmon's</w:t>
            </w:r>
          </w:p>
        </w:tc>
      </w:tr>
      <w:tr w:rsidR="00013A09" w14:paraId="4FF91B7E" w14:textId="77777777" w:rsidTr="00013A09">
        <w:tblPrEx>
          <w:tblCellMar>
            <w:top w:w="0" w:type="dxa"/>
            <w:bottom w:w="0" w:type="dxa"/>
          </w:tblCellMar>
        </w:tblPrEx>
        <w:tc>
          <w:tcPr>
            <w:tcW w:w="1871" w:type="dxa"/>
          </w:tcPr>
          <w:p w14:paraId="3B7CABA8" w14:textId="0BFDABD5"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of foreignness</w:t>
            </w:r>
          </w:p>
        </w:tc>
        <w:tc>
          <w:tcPr>
            <w:tcW w:w="1871" w:type="dxa"/>
          </w:tcPr>
          <w:p w14:paraId="38D21F21" w14:textId="1DB5B88A"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three conditions are met</w:t>
            </w:r>
          </w:p>
        </w:tc>
        <w:tc>
          <w:tcPr>
            <w:tcW w:w="1871" w:type="dxa"/>
          </w:tcPr>
          <w:p w14:paraId="7000F952" w14:textId="5F753569"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AI ownership advantage</w:t>
            </w:r>
          </w:p>
        </w:tc>
        <w:tc>
          <w:tcPr>
            <w:tcW w:w="1871" w:type="dxa"/>
          </w:tcPr>
          <w:p w14:paraId="7069B1CD" w14:textId="77777777" w:rsidR="00013A09" w:rsidRDefault="00013A09" w:rsidP="00013A09">
            <w:pPr>
              <w:spacing w:after="0" w:line="360" w:lineRule="auto"/>
              <w:rPr>
                <w:rFonts w:ascii="Times New Roman" w:hAnsi="Times New Roman" w:cs="Times New Roman"/>
                <w:sz w:val="28"/>
              </w:rPr>
            </w:pPr>
          </w:p>
        </w:tc>
        <w:tc>
          <w:tcPr>
            <w:tcW w:w="1871" w:type="dxa"/>
          </w:tcPr>
          <w:p w14:paraId="21D6FEC9" w14:textId="77777777" w:rsidR="00013A09" w:rsidRDefault="00013A09" w:rsidP="00013A09">
            <w:pPr>
              <w:spacing w:after="0" w:line="360" w:lineRule="auto"/>
              <w:rPr>
                <w:rFonts w:ascii="Times New Roman" w:hAnsi="Times New Roman" w:cs="Times New Roman"/>
                <w:sz w:val="28"/>
              </w:rPr>
            </w:pPr>
          </w:p>
        </w:tc>
      </w:tr>
      <w:tr w:rsidR="00013A09" w14:paraId="0846A2D4" w14:textId="77777777" w:rsidTr="00013A09">
        <w:tblPrEx>
          <w:tblCellMar>
            <w:top w:w="0" w:type="dxa"/>
            <w:bottom w:w="0" w:type="dxa"/>
          </w:tblCellMar>
        </w:tblPrEx>
        <w:tc>
          <w:tcPr>
            <w:tcW w:w="1871" w:type="dxa"/>
          </w:tcPr>
          <w:p w14:paraId="22A08CA3" w14:textId="2E8EEE96"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Born Global [4]</w:t>
            </w:r>
          </w:p>
        </w:tc>
        <w:tc>
          <w:tcPr>
            <w:tcW w:w="1871" w:type="dxa"/>
          </w:tcPr>
          <w:p w14:paraId="04401738" w14:textId="3C63CA7B"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Tech firms internationalise at or</w:t>
            </w:r>
          </w:p>
        </w:tc>
        <w:tc>
          <w:tcPr>
            <w:tcW w:w="1871" w:type="dxa"/>
          </w:tcPr>
          <w:p w14:paraId="29C77631" w14:textId="5B5BB04A"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Knowledge-intensive firms bypass</w:t>
            </w:r>
          </w:p>
        </w:tc>
        <w:tc>
          <w:tcPr>
            <w:tcW w:w="1871" w:type="dxa"/>
          </w:tcPr>
          <w:p w14:paraId="640E0E24" w14:textId="6786FE64"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Rapid, multi-market entry</w:t>
            </w:r>
          </w:p>
        </w:tc>
        <w:tc>
          <w:tcPr>
            <w:tcW w:w="1871" w:type="dxa"/>
          </w:tcPr>
          <w:p w14:paraId="0A415AD7" w14:textId="40DA37AB"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High; Salmon is a digital-native INV;</w:t>
            </w:r>
          </w:p>
        </w:tc>
      </w:tr>
      <w:tr w:rsidR="00013A09" w14:paraId="1CD9E67B" w14:textId="77777777" w:rsidTr="00013A09">
        <w:tblPrEx>
          <w:tblCellMar>
            <w:top w:w="0" w:type="dxa"/>
            <w:bottom w:w="0" w:type="dxa"/>
          </w:tblCellMar>
        </w:tblPrEx>
        <w:tc>
          <w:tcPr>
            <w:tcW w:w="1871" w:type="dxa"/>
          </w:tcPr>
          <w:p w14:paraId="18E165C0" w14:textId="0E965FD5"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near founding</w:t>
            </w:r>
          </w:p>
        </w:tc>
        <w:tc>
          <w:tcPr>
            <w:tcW w:w="1871" w:type="dxa"/>
          </w:tcPr>
          <w:p w14:paraId="1A093C36" w14:textId="39E73782"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gradual stages</w:t>
            </w:r>
          </w:p>
        </w:tc>
        <w:tc>
          <w:tcPr>
            <w:tcW w:w="1871" w:type="dxa"/>
          </w:tcPr>
          <w:p w14:paraId="6F57A5B4" w14:textId="76495ADA"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from inception</w:t>
            </w:r>
          </w:p>
        </w:tc>
        <w:tc>
          <w:tcPr>
            <w:tcW w:w="1871" w:type="dxa"/>
          </w:tcPr>
          <w:p w14:paraId="107CCC2D" w14:textId="772F5B39"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its capital structure reflects this logic</w:t>
            </w:r>
          </w:p>
        </w:tc>
        <w:tc>
          <w:tcPr>
            <w:tcW w:w="1871" w:type="dxa"/>
          </w:tcPr>
          <w:p w14:paraId="1EB18F79" w14:textId="77777777" w:rsidR="00013A09" w:rsidRDefault="00013A09" w:rsidP="00013A09">
            <w:pPr>
              <w:spacing w:after="0" w:line="360" w:lineRule="auto"/>
              <w:rPr>
                <w:rFonts w:ascii="Times New Roman" w:hAnsi="Times New Roman" w:cs="Times New Roman"/>
                <w:sz w:val="28"/>
              </w:rPr>
            </w:pPr>
          </w:p>
        </w:tc>
      </w:tr>
      <w:tr w:rsidR="00013A09" w14:paraId="57B6696D" w14:textId="77777777" w:rsidTr="00013A09">
        <w:tblPrEx>
          <w:tblCellMar>
            <w:top w:w="0" w:type="dxa"/>
            <w:bottom w:w="0" w:type="dxa"/>
          </w:tblCellMar>
        </w:tblPrEx>
        <w:tc>
          <w:tcPr>
            <w:tcW w:w="1871" w:type="dxa"/>
          </w:tcPr>
          <w:p w14:paraId="6E6BC822" w14:textId="6ECB87A0"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lastRenderedPageBreak/>
              <w:t>RBV [5]</w:t>
            </w:r>
          </w:p>
        </w:tc>
        <w:tc>
          <w:tcPr>
            <w:tcW w:w="1871" w:type="dxa"/>
          </w:tcPr>
          <w:p w14:paraId="37E9BD2F" w14:textId="111EF0F3"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Unique, inimitable resources sustain</w:t>
            </w:r>
          </w:p>
        </w:tc>
        <w:tc>
          <w:tcPr>
            <w:tcW w:w="1871" w:type="dxa"/>
          </w:tcPr>
          <w:p w14:paraId="1D0B7F3B" w14:textId="6B0E5C70"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Resources must be valuable, rare,</w:t>
            </w:r>
          </w:p>
        </w:tc>
        <w:tc>
          <w:tcPr>
            <w:tcW w:w="1871" w:type="dxa"/>
          </w:tcPr>
          <w:p w14:paraId="5D1CB507" w14:textId="20FD1D71"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Enter where core</w:t>
            </w:r>
          </w:p>
        </w:tc>
        <w:tc>
          <w:tcPr>
            <w:tcW w:w="1871" w:type="dxa"/>
          </w:tcPr>
          <w:p w14:paraId="3159A908" w14:textId="295F2921"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Strong; alternative-data credit scoring</w:t>
            </w:r>
          </w:p>
        </w:tc>
      </w:tr>
      <w:tr w:rsidR="00013A09" w14:paraId="674B02C0" w14:textId="77777777" w:rsidTr="00013A09">
        <w:tblPrEx>
          <w:tblCellMar>
            <w:top w:w="0" w:type="dxa"/>
            <w:bottom w:w="0" w:type="dxa"/>
          </w:tblCellMar>
        </w:tblPrEx>
        <w:tc>
          <w:tcPr>
            <w:tcW w:w="1871" w:type="dxa"/>
          </w:tcPr>
          <w:p w14:paraId="0BF76C6B" w14:textId="42B9AFDA"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competitive advantage</w:t>
            </w:r>
          </w:p>
        </w:tc>
        <w:tc>
          <w:tcPr>
            <w:tcW w:w="1871" w:type="dxa"/>
          </w:tcPr>
          <w:p w14:paraId="2E06F4FA" w14:textId="689C285E"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inimitable, non-substitutable</w:t>
            </w:r>
          </w:p>
        </w:tc>
        <w:tc>
          <w:tcPr>
            <w:tcW w:w="1871" w:type="dxa"/>
          </w:tcPr>
          <w:p w14:paraId="5BF0E5D2" w14:textId="49C586C0"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competencies command premium</w:t>
            </w:r>
          </w:p>
        </w:tc>
        <w:tc>
          <w:tcPr>
            <w:tcW w:w="1871" w:type="dxa"/>
          </w:tcPr>
          <w:p w14:paraId="43ADA2AC" w14:textId="39CF3D1B"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is the relevant proprietary resource</w:t>
            </w:r>
          </w:p>
        </w:tc>
        <w:tc>
          <w:tcPr>
            <w:tcW w:w="1871" w:type="dxa"/>
          </w:tcPr>
          <w:p w14:paraId="77468436" w14:textId="77777777" w:rsidR="00013A09" w:rsidRDefault="00013A09" w:rsidP="00013A09">
            <w:pPr>
              <w:spacing w:after="0" w:line="360" w:lineRule="auto"/>
              <w:rPr>
                <w:rFonts w:ascii="Times New Roman" w:hAnsi="Times New Roman" w:cs="Times New Roman"/>
                <w:sz w:val="28"/>
              </w:rPr>
            </w:pPr>
          </w:p>
        </w:tc>
      </w:tr>
      <w:tr w:rsidR="00013A09" w14:paraId="1BD982E1" w14:textId="77777777" w:rsidTr="00013A09">
        <w:tblPrEx>
          <w:tblCellMar>
            <w:top w:w="0" w:type="dxa"/>
            <w:bottom w:w="0" w:type="dxa"/>
          </w:tblCellMar>
        </w:tblPrEx>
        <w:tc>
          <w:tcPr>
            <w:tcW w:w="1871" w:type="dxa"/>
          </w:tcPr>
          <w:p w14:paraId="43B578C2" w14:textId="5E6807FA"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TCT [6]</w:t>
            </w:r>
          </w:p>
        </w:tc>
        <w:tc>
          <w:tcPr>
            <w:tcW w:w="1871" w:type="dxa"/>
          </w:tcPr>
          <w:p w14:paraId="23E691BB" w14:textId="5806F37C"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Minimise transaction costs governs</w:t>
            </w:r>
          </w:p>
        </w:tc>
        <w:tc>
          <w:tcPr>
            <w:tcW w:w="1871" w:type="dxa"/>
          </w:tcPr>
          <w:p w14:paraId="5F7171F2" w14:textId="1DB7CAF1"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Markets fail under uncertainty and</w:t>
            </w:r>
          </w:p>
        </w:tc>
        <w:tc>
          <w:tcPr>
            <w:tcW w:w="1871" w:type="dxa"/>
          </w:tcPr>
          <w:p w14:paraId="1E2D47E7" w14:textId="2EF152CC"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Hierarchy when licensing</w:t>
            </w:r>
          </w:p>
        </w:tc>
        <w:tc>
          <w:tcPr>
            <w:tcW w:w="1871" w:type="dxa"/>
          </w:tcPr>
          <w:p w14:paraId="4A2C2D7A" w14:textId="7B022E61"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Moderate; governs partnership vs.</w:t>
            </w:r>
          </w:p>
        </w:tc>
      </w:tr>
      <w:tr w:rsidR="00013A09" w14:paraId="0438AB99" w14:textId="77777777" w:rsidTr="00013A09">
        <w:tblPrEx>
          <w:tblCellMar>
            <w:top w:w="0" w:type="dxa"/>
            <w:bottom w:w="0" w:type="dxa"/>
          </w:tblCellMar>
        </w:tblPrEx>
        <w:tc>
          <w:tcPr>
            <w:tcW w:w="1871" w:type="dxa"/>
          </w:tcPr>
          <w:p w14:paraId="027EB840" w14:textId="1DBA2A03"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governance choice</w:t>
            </w:r>
          </w:p>
        </w:tc>
        <w:tc>
          <w:tcPr>
            <w:tcW w:w="1871" w:type="dxa"/>
          </w:tcPr>
          <w:p w14:paraId="526F1FCE" w14:textId="09EA88CA"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asset specificity</w:t>
            </w:r>
          </w:p>
        </w:tc>
        <w:tc>
          <w:tcPr>
            <w:tcW w:w="1871" w:type="dxa"/>
          </w:tcPr>
          <w:p w14:paraId="0C23F04B" w14:textId="058E5CBE"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risks are high</w:t>
            </w:r>
          </w:p>
        </w:tc>
        <w:tc>
          <w:tcPr>
            <w:tcW w:w="1871" w:type="dxa"/>
          </w:tcPr>
          <w:p w14:paraId="59C6182E" w14:textId="418890B5"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greenfield decision under regulatory constraint</w:t>
            </w:r>
          </w:p>
        </w:tc>
        <w:tc>
          <w:tcPr>
            <w:tcW w:w="1871" w:type="dxa"/>
          </w:tcPr>
          <w:p w14:paraId="1F9A79A0" w14:textId="77777777" w:rsidR="00013A09" w:rsidRDefault="00013A09" w:rsidP="00013A09">
            <w:pPr>
              <w:spacing w:after="0" w:line="360" w:lineRule="auto"/>
              <w:rPr>
                <w:rFonts w:ascii="Times New Roman" w:hAnsi="Times New Roman" w:cs="Times New Roman"/>
                <w:sz w:val="28"/>
              </w:rPr>
            </w:pPr>
          </w:p>
        </w:tc>
      </w:tr>
    </w:tbl>
    <w:p w14:paraId="32668DF5" w14:textId="77777777" w:rsidR="00013A09" w:rsidRDefault="00013A09" w:rsidP="00013A09">
      <w:pPr>
        <w:spacing w:after="0" w:line="360" w:lineRule="auto"/>
        <w:rPr>
          <w:rFonts w:ascii="Times New Roman" w:hAnsi="Times New Roman" w:cs="Times New Roman"/>
          <w:sz w:val="28"/>
        </w:rPr>
      </w:pPr>
    </w:p>
    <w:p w14:paraId="1D8FC4BF" w14:textId="4823DCAF"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Taken individually, none of these frameworks produces a complete theory of FinTech market entry in Southeast Asian emerging markets. The Uppsala model's incremental logic is descriptively wrong for digital-native platforms, and even its 2009 revision retains a gradualism that does not fit a company moving across adjacent emerging markets with compatible infrastructure. OLI is analytically powerful but says little about regulatory entry costs specific to financial services or about how a sandbox pilot translates into a full license. Born Global theory explains Salmon's prior behavior but does not prescribe which market to enter or what governance structure to adopt. The RBV identifies what Salmon's advantage is but not how to protect it against local regulatory constraints that could restrict the use of foreign-trained data models. TCT is the most actionable for governance decisions but requires knowing the contracting environment in advance.</w:t>
      </w:r>
    </w:p>
    <w:p w14:paraId="046151F4" w14:textId="2491B9BC"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implication developed across subsequent sections is that Salmon's market entry decision requires a composite framework. The specific composite is argued in Section 7, after the evidence from all five prior sections has been assembled.</w:t>
      </w:r>
    </w:p>
    <w:p w14:paraId="60FF54DA" w14:textId="3E672881" w:rsidR="00013A09" w:rsidRDefault="00013A09" w:rsidP="00013A09">
      <w:pPr>
        <w:spacing w:after="0" w:line="360" w:lineRule="auto"/>
        <w:rPr>
          <w:rFonts w:ascii="Times New Roman" w:hAnsi="Times New Roman" w:cs="Times New Roman"/>
          <w:b/>
          <w:sz w:val="28"/>
        </w:rPr>
      </w:pPr>
      <w:r>
        <w:rPr>
          <w:rFonts w:ascii="Times New Roman" w:hAnsi="Times New Roman" w:cs="Times New Roman"/>
          <w:b/>
          <w:sz w:val="28"/>
        </w:rPr>
        <w:t>SECTION 2: FinTech internationalization</w:t>
      </w:r>
    </w:p>
    <w:p w14:paraId="3CA30405" w14:textId="6496A506"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The classical frameworks surveyed above were developed primarily for manufacturing or services firms in industries where the host country's consumers, regulators and incumbents share broadly similar assumptions about what a foreign </w:t>
      </w:r>
      <w:r>
        <w:rPr>
          <w:rFonts w:ascii="Times New Roman" w:hAnsi="Times New Roman" w:cs="Times New Roman"/>
          <w:sz w:val="28"/>
        </w:rPr>
        <w:lastRenderedPageBreak/>
        <w:t>entrant is and what it wants. FinTech consumer lending platforms differ from that baseline in several ways that matter for how internationalization theory applies.</w:t>
      </w:r>
    </w:p>
    <w:p w14:paraId="46F27AFF" w14:textId="1D808D8B"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marginal cost of geographic replication is close to zero for a mobile application. The code that approves a consumer loan in Manila operates identically in Hanoi; the engineering cost of adding a new currency denomination, language layer and regulatory reporting module is meaningful but not prohibitive. Gomber, Kauffman, Parker and Weber [9] describe this as a structural feature of FinTech rather than a temporary advantage, arguing that the separation of financial service delivery from physical financial infrastructure is a durable change in the economics of the industry. They call this separation the "FinTech decoupling," and it provides the strongest argument for why FinTech platforms exhibit Born Global behavior: the traditional reasons for incremental internationalization (learning costs, capital requirements for physical infrastructure, scale-up time in new geographies) are substantially reduced.</w:t>
      </w:r>
    </w:p>
    <w:p w14:paraId="3851C106" w14:textId="63A3C525"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But the decoupling is incomplete. Also, it is asymmetric: replicating the product interface costs close to zero, while replicating the regulatory standing of a licensed consumer lender requires months of application, negotiation and supervised operation. Regulatory compliance does not replicate at zero marginal cost. Each jurisdiction requires its own licensing structure, data residency arrangements, consumer protection procedures, language-specific disclosures and, in many developing markets, explicit restrictions on foreign ownership of financial entities. Arner, Barberis and Buckley [11] trace the evolution of FinTech regulation through three phases: a pre-2008 period of minimal oversight, a post-crisis proliferation of innovation-friendly sandbox programs, and what they describe as the current phase of "regulatory coordination," in which national regulators increasingly cooperate on FinTech standards. Their framework is broadly optimistic about convergence, but they acknowledge that the pace varies enormously between jurisdictions. Singapore and Hong Kong have moved toward mutual recognition frameworks; Vietnam's regulatory sandbox was formalized only in 2025 [26], more than a decade after the UK's FCA launched its own. The practical implication is that a FinTech platform's </w:t>
      </w:r>
      <w:r>
        <w:rPr>
          <w:rFonts w:ascii="Times New Roman" w:hAnsi="Times New Roman" w:cs="Times New Roman"/>
          <w:sz w:val="28"/>
        </w:rPr>
        <w:lastRenderedPageBreak/>
        <w:t>actual speed of geographic replication is constrained not by technology but by the regulatory pipeline of each target jurisdiction.</w:t>
      </w:r>
    </w:p>
    <w:p w14:paraId="4D09DFF6" w14:textId="42A71AF3"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Second, FinTech credit markets depend on data infrastructure that is locally specific. Claessens, Frost, Turner and Zhu [12] analyze credit markets across 64 countries and find that market size is most strongly predicted by GDP per capita and smartphone ownership. But for consumer lending specifically, a third variable matters that their analysis does not directly measure: the quality and coverage of the domestic credit information system. In markets where credit bureau coverage is below 30% of adults, a lender that operates on traditional documentation-based underwriting faces severe adverse selection -- the only borrowers willing to document their income are those confident their documentation will produce an approval, which is not a representative cross-section of the population. Alternative-data underwriting, inferring creditworthiness from mobile payment patterns and behavioral signals, is not simply a product feature in this context. It is a structural prerequisite for serving the mass market.</w:t>
      </w:r>
    </w:p>
    <w:p w14:paraId="6529B1EE" w14:textId="742A2F98"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Salmon's competitive advantage in the Philippines rests precisely on having built this capability during a period when bureau coverage was thin [20]. The portability of that advantage to Vietnam requires careful analysis because the mobile data ecosystem differs: Vietnam's dominant payment networks include VietQR, MoMo and ZaloPay, each of which generates a different type of behavioral signal than the GCash and Maya networks that Salmon's Philippine model was trained on. The advantage is portable in architecture but requires local calibration in training data.</w:t>
      </w:r>
    </w:p>
    <w:p w14:paraId="2F338D1B" w14:textId="4572C080"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Zalan and Toufaily [13] make a point that the FinTech expansion literature tends to understate. FinTech in emerging markets is "not as disruptive" as proponents suggest, specifically because the incumbents in those markets are not always technologically backward. In several Southeast Asian markets, the most formidable competitors are not commercial banks at all but super-apps (Grab in Southeast Asia broadly, Gojek in Indonesia, Zalo and Shopee in Vietnam) that already possess the merchant relationship network, the consumer behavioral dataset and the mobile </w:t>
      </w:r>
      <w:r>
        <w:rPr>
          <w:rFonts w:ascii="Times New Roman" w:hAnsi="Times New Roman" w:cs="Times New Roman"/>
          <w:sz w:val="28"/>
        </w:rPr>
        <w:lastRenderedPageBreak/>
        <w:t>interface. A foreign consumer lending FinTech entering Vietnam does not arrive as a digital innovator challenging an analog incumbent. It arrives as a foreign mono-product lender in a market where dominant consumer platforms already embed financial products in their primary interface. That competitive reality is not adequately captured by OLI analysis of ownership advantages, because the relevant competition is between data ecosystems, not between financial product features.</w:t>
      </w:r>
    </w:p>
    <w:p w14:paraId="339D9C1C" w14:textId="4E072B16"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Lagna and Ravishankar [14] argue that the FinTech literature has systematically underweighted the social and institutional embeddedness of financial services. Trust in a consumer lender is not a function of product technology quality alone; it depends on brand recognition, local-language support, cultural norms around debt and repayment, and the reputational standing of the parent entity in the host country. Salmon is unknown in Vietnam. Its IFC backing provides institutional credibility with regulators and potential banking partners. It provides no consumer brand awareness at all. The implication for market entry strategy is that customer acquisition costs in Vietnam will be substantially higher than in the Philippines, at least in the first 12-24 months, and that a product quality advantage will only convert to competitive position once initial adoption has generated the word-of-mouth dynamics that social influence research consistently identifies as the dominant channel for financial services adoption in low-trust contexts.</w:t>
      </w:r>
    </w:p>
    <w:p w14:paraId="78D3D1F4" w14:textId="3D447981"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Philippon [15] offers a complementary empirical observation: across 85 countries in his sample, the highest FinTech adoption rates are found not in the most technologically advanced markets but in those where the incumbent banking system is most expensive and inefficient. Vietnam fits that profile with precision. The State Bank of Vietnam's data show commercial bank lending rates for unsecured consumer credit ranging from 15% to 35% annually, with informal moneylender rates frequently exceeding 50%. A mobile lending platform that approves a consumer loan in under 10 minutes at 18% annual interest does not need to build brand recognition from scratch; it needs to solve the trust problem enough that consumers will try it once, at which point product experience takes over.</w:t>
      </w:r>
    </w:p>
    <w:p w14:paraId="2A5A525C" w14:textId="44FAE028"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Frost's [18] 2020 BIS working paper provides cross-country econometric grounding for the market selection question. His analysis of 64 countries finds that the three strongest predictors of FinTech credit adoption are smartphone ownership, consumer dissatisfaction with existing bank services and the presence of a regulatory sandbox. Vietnam scores favorably on all three dimensions [17][26]. The analytical force of that finding is not a guarantee of commercial success, but it is a reliable structural filter: markets that fail on even one of these three criteria face adoption barriers that product quality cannot overcome.</w:t>
      </w:r>
    </w:p>
    <w:p w14:paraId="3F2C485E" w14:textId="6B922DE9"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What the FinTech internationalization literature does not address, and what this thesis takes as a contribution opportunity, is the specific dynamics of outward internationalization by FinTech platforms that were themselves built in emerging markets. The literature reviewed here focuses on US, UK and Chinese companies expanding into emerging markets [9][10][11][12] or on emerging markets receiving inbound FinTech investment [13][14]. The category of an emerging-market FinTech company replicating its model in a neighboring emerging market with comparable structural characteristics is essentially absent. That gap is returned to in Section 7.</w:t>
      </w:r>
    </w:p>
    <w:p w14:paraId="0C38AE9E" w14:textId="758F97FF" w:rsidR="00013A09" w:rsidRDefault="00013A09" w:rsidP="00013A09">
      <w:pPr>
        <w:spacing w:after="0" w:line="360" w:lineRule="auto"/>
        <w:rPr>
          <w:rFonts w:ascii="Times New Roman" w:hAnsi="Times New Roman" w:cs="Times New Roman"/>
          <w:b/>
          <w:sz w:val="28"/>
        </w:rPr>
      </w:pPr>
      <w:r>
        <w:rPr>
          <w:rFonts w:ascii="Times New Roman" w:hAnsi="Times New Roman" w:cs="Times New Roman"/>
          <w:b/>
          <w:sz w:val="28"/>
        </w:rPr>
        <w:t>SECTION 3: Southeast Asian FinTech landscape and market selection</w:t>
      </w:r>
    </w:p>
    <w:p w14:paraId="0D359730" w14:textId="7DF5A3FF"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Southeast Asia's financial inclusion gap is substantial. The World Bank's Global Findex 2021 [17] estimated 290 million unbanked adults in the region, with a further 100 million classified as underbanked. But aggregate figures of this type obscure variation between markets that is material for a single-market entry decision. The comparison that follows focuses on the four ASEAN markets most commonly discussed in the FinTech expansion literature: Vietnam, Indonesia, Thailand and Malaysia.</w:t>
      </w:r>
    </w:p>
    <w:p w14:paraId="70A6DDF4" w14:textId="5D98B25A"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Vietnam and Indonesia share the highest unbanked rates in the region, at 79% and 77% respectively [17]. Both have smartphone penetration above 70%. Both have functioning FinTech regulatory frameworks. Those surface similarities have led several analysts to treat them as equivalent market opportunities, which is analytically incorrect when regulatory trend direction and incumbent market concentration are incorporated into the comparison.</w:t>
      </w:r>
    </w:p>
    <w:p w14:paraId="63EC6C1E" w14:textId="18F61F6D"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Indonesia's digital lending market is nominally larger, estimated at roughly $15B in 2024 versus Vietnam's $8.68B. But the growth trajectories diverge. Indonesia's market is projected to reach approximately $10.86B by 2025 under the OJK's tighter regulatory regime, while Vietnam's is projected to reach $16.63B by 2029. The arithmetic reflects market phase: Indonesia is consolidating around existing licensed operators, while Vietnam is still in the rapid adoption phase. The OJK's Regulation No. 40, issued in December 2024, raised capital requirements, tightened equity rules and imposed stricter consumer protection mandates on P2P lending platforms. The regulation was explicitly designed to consolidate the market. As of 2024, the OJK had licensed over 100 P2P platforms and concentration was already high among the top five or six operators. A new foreign entrant in 2025 faces substantially higher entry costs than it would have faced in 2021 and enters a market in which the regulatory window for first-mover positioning has closed.</w:t>
      </w:r>
    </w:p>
    <w:p w14:paraId="367FFF21" w14:textId="0DE00D10"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Vietnam's trajectory runs in the opposite direction. Decree 94/2025 [26], issued in February 2025 and effective from July 2025, created a formal regulatory sandbox for FinTech companies in the banking sector. The sandbox permits foreign-owned companies to pilot credit scoring and open banking API services for up to two years, renewable for up to two additional one-year periods. The framework does not grant a direct license to operate consumer lending at launch, but it creates a defined path from pilot to license that is, as of March 2026, the most explicit and recently enacted FinTech entry pathway in ASEAN. The ownership restriction on direct P2P lending (which requires Vietnamese majority legal entity control) is a real structural constraint, but it is navigable through a licensing partnership with a locally licensed financial institution.</w:t>
      </w:r>
    </w:p>
    <w:p w14:paraId="2F3D4D83" w14:textId="438D9281"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The SCBX acquisition of Home Credit Vietnam in February 2024 is the most relevant market validation event available. SCBX (the financial holding arm of Siam Commercial Bank of Thailand) paid approximately $860M for a company whose principal asset was a Vietnamese consumer lending portfolio and the license to build it [30]. That price reflects the value that a regional financial institution assigns to a patient, locally licensed position in Vietnam's consumer lending market. The </w:t>
      </w:r>
      <w:r>
        <w:rPr>
          <w:rFonts w:ascii="Times New Roman" w:hAnsi="Times New Roman" w:cs="Times New Roman"/>
          <w:sz w:val="28"/>
        </w:rPr>
        <w:lastRenderedPageBreak/>
        <w:t>valuation also confirms that foreign financial companies can build sustainable operations in Vietnam -- the question for Salmon is not whether the market is accessible but at what cost and through what structure.</w:t>
      </w:r>
    </w:p>
    <w:p w14:paraId="37D7F77F" w14:textId="5927182B"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Thailand and Malaysia complete the comparison but do not compete with Vietnam as primary entry targets. Thailand's virtual banking framework is technically sophisticated, with the Bank of Thailand approving three virtual bank consortiums in June 2025. But the minimum capital requirement for a virtual bank license is THB 5 billion, approximately $140M. Salmon's total raised capital as of 2025 is $88M. The capital requirement eliminates Thailand from Salmon's realistic near-term options regardless of the market's attractiveness. Malaysia's regulatory sandbox (managed by Bank Negara Malaysia) is functional, but the country's unbanked rate is below 25%, which substantially reduces the addressable market for bureau-bypass consumer lending. Also, Malaysia's existing consumer finance market is dominated by well-capitalized local banks with digital channels already built, meaning the competitive pressure on a new entrant is considerably higher relative to the addressable opportunity than in Vietnam.</w:t>
      </w:r>
    </w:p>
    <w:p w14:paraId="14280679" w14:textId="5E8CFC17"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Table 2 presents the four markets on the dimensions most relevant to Salmon's decision.</w:t>
      </w:r>
    </w:p>
    <w:p w14:paraId="31F1A8BE" w14:textId="1EE350E6"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Table 2 — ASEAN FinTech market comparison: key selection criteria</w:t>
      </w:r>
    </w:p>
    <w:tbl>
      <w:tblPr>
        <w:tblW w:w="0" w:type="auto"/>
        <w:tblLook w:val="0000" w:firstRow="0" w:lastRow="0" w:firstColumn="0" w:lastColumn="0" w:noHBand="0" w:noVBand="0"/>
      </w:tblPr>
      <w:tblGrid>
        <w:gridCol w:w="1336"/>
        <w:gridCol w:w="1336"/>
        <w:gridCol w:w="1336"/>
        <w:gridCol w:w="1336"/>
        <w:gridCol w:w="1337"/>
        <w:gridCol w:w="1337"/>
        <w:gridCol w:w="1337"/>
      </w:tblGrid>
      <w:tr w:rsidR="00013A09" w14:paraId="5A2C031F" w14:textId="77777777" w:rsidTr="00013A09">
        <w:tblPrEx>
          <w:tblCellMar>
            <w:top w:w="0" w:type="dxa"/>
            <w:bottom w:w="0" w:type="dxa"/>
          </w:tblCellMar>
        </w:tblPrEx>
        <w:tc>
          <w:tcPr>
            <w:tcW w:w="1336" w:type="dxa"/>
          </w:tcPr>
          <w:p w14:paraId="67AE18AA" w14:textId="038D1C62"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Market</w:t>
            </w:r>
          </w:p>
        </w:tc>
        <w:tc>
          <w:tcPr>
            <w:tcW w:w="1336" w:type="dxa"/>
          </w:tcPr>
          <w:p w14:paraId="1CF50D19" w14:textId="57868A48"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Unbanked rate</w:t>
            </w:r>
          </w:p>
        </w:tc>
        <w:tc>
          <w:tcPr>
            <w:tcW w:w="1336" w:type="dxa"/>
          </w:tcPr>
          <w:p w14:paraId="00043BAC" w14:textId="5F73CC36"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Alt. lending 2024</w:t>
            </w:r>
          </w:p>
        </w:tc>
        <w:tc>
          <w:tcPr>
            <w:tcW w:w="1336" w:type="dxa"/>
          </w:tcPr>
          <w:p w14:paraId="3D71E2D1" w14:textId="786E2E92"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Projected 2029</w:t>
            </w:r>
          </w:p>
        </w:tc>
        <w:tc>
          <w:tcPr>
            <w:tcW w:w="1337" w:type="dxa"/>
          </w:tcPr>
          <w:p w14:paraId="551741A5" w14:textId="35FD9A04"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Annual growth</w:t>
            </w:r>
          </w:p>
        </w:tc>
        <w:tc>
          <w:tcPr>
            <w:tcW w:w="1337" w:type="dxa"/>
          </w:tcPr>
          <w:p w14:paraId="783E36D9" w14:textId="5D0A5269"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Regulatory sandbox</w:t>
            </w:r>
          </w:p>
        </w:tc>
        <w:tc>
          <w:tcPr>
            <w:tcW w:w="1337" w:type="dxa"/>
          </w:tcPr>
          <w:p w14:paraId="05CB0FDB" w14:textId="70086081" w:rsidR="00013A09" w:rsidRPr="00013A09" w:rsidRDefault="00013A09" w:rsidP="00013A09">
            <w:pPr>
              <w:spacing w:after="0" w:line="360" w:lineRule="auto"/>
              <w:rPr>
                <w:rFonts w:ascii="Times New Roman" w:hAnsi="Times New Roman" w:cs="Times New Roman"/>
                <w:b/>
                <w:sz w:val="22"/>
              </w:rPr>
            </w:pPr>
            <w:r>
              <w:rPr>
                <w:rFonts w:ascii="Times New Roman" w:hAnsi="Times New Roman" w:cs="Times New Roman"/>
                <w:b/>
                <w:sz w:val="22"/>
              </w:rPr>
              <w:t>Assessment</w:t>
            </w:r>
          </w:p>
        </w:tc>
      </w:tr>
      <w:tr w:rsidR="00013A09" w14:paraId="24CF342A" w14:textId="77777777" w:rsidTr="00013A09">
        <w:tblPrEx>
          <w:tblCellMar>
            <w:top w:w="0" w:type="dxa"/>
            <w:bottom w:w="0" w:type="dxa"/>
          </w:tblCellMar>
        </w:tblPrEx>
        <w:tc>
          <w:tcPr>
            <w:tcW w:w="1336" w:type="dxa"/>
          </w:tcPr>
          <w:p w14:paraId="6580AFCD" w14:textId="0C6B3751"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Vietnam</w:t>
            </w:r>
          </w:p>
        </w:tc>
        <w:tc>
          <w:tcPr>
            <w:tcW w:w="1336" w:type="dxa"/>
          </w:tcPr>
          <w:p w14:paraId="14E528C3" w14:textId="0835DB0C"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79%</w:t>
            </w:r>
          </w:p>
        </w:tc>
        <w:tc>
          <w:tcPr>
            <w:tcW w:w="1336" w:type="dxa"/>
          </w:tcPr>
          <w:p w14:paraId="365979C9" w14:textId="15210CD1"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$8.68B</w:t>
            </w:r>
          </w:p>
        </w:tc>
        <w:tc>
          <w:tcPr>
            <w:tcW w:w="1336" w:type="dxa"/>
          </w:tcPr>
          <w:p w14:paraId="21A1EFA9" w14:textId="2FF55CE8"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$16.63B</w:t>
            </w:r>
          </w:p>
        </w:tc>
        <w:tc>
          <w:tcPr>
            <w:tcW w:w="1337" w:type="dxa"/>
          </w:tcPr>
          <w:p w14:paraId="5C73DF7D" w14:textId="72FA05D9"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13.8%</w:t>
            </w:r>
          </w:p>
        </w:tc>
        <w:tc>
          <w:tcPr>
            <w:tcW w:w="1337" w:type="dxa"/>
          </w:tcPr>
          <w:p w14:paraId="6451A7FB" w14:textId="7CBF404D"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Yes -- Decree 94/2025</w:t>
            </w:r>
          </w:p>
        </w:tc>
        <w:tc>
          <w:tcPr>
            <w:tcW w:w="1337" w:type="dxa"/>
          </w:tcPr>
          <w:p w14:paraId="2BA645C4" w14:textId="5012CE85"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Primary target</w:t>
            </w:r>
          </w:p>
        </w:tc>
      </w:tr>
      <w:tr w:rsidR="00013A09" w14:paraId="43BE8060" w14:textId="77777777" w:rsidTr="00013A09">
        <w:tblPrEx>
          <w:tblCellMar>
            <w:top w:w="0" w:type="dxa"/>
            <w:bottom w:w="0" w:type="dxa"/>
          </w:tblCellMar>
        </w:tblPrEx>
        <w:tc>
          <w:tcPr>
            <w:tcW w:w="1336" w:type="dxa"/>
          </w:tcPr>
          <w:p w14:paraId="3C10FF6F" w14:textId="7C89AA97"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(effective July 2025)</w:t>
            </w:r>
          </w:p>
        </w:tc>
        <w:tc>
          <w:tcPr>
            <w:tcW w:w="1336" w:type="dxa"/>
          </w:tcPr>
          <w:p w14:paraId="7324066F" w14:textId="77777777" w:rsidR="00013A09" w:rsidRDefault="00013A09" w:rsidP="00013A09">
            <w:pPr>
              <w:spacing w:after="0" w:line="360" w:lineRule="auto"/>
              <w:rPr>
                <w:rFonts w:ascii="Times New Roman" w:hAnsi="Times New Roman" w:cs="Times New Roman"/>
                <w:sz w:val="28"/>
              </w:rPr>
            </w:pPr>
          </w:p>
        </w:tc>
        <w:tc>
          <w:tcPr>
            <w:tcW w:w="1336" w:type="dxa"/>
          </w:tcPr>
          <w:p w14:paraId="4817CA9B" w14:textId="77777777" w:rsidR="00013A09" w:rsidRDefault="00013A09" w:rsidP="00013A09">
            <w:pPr>
              <w:spacing w:after="0" w:line="360" w:lineRule="auto"/>
              <w:rPr>
                <w:rFonts w:ascii="Times New Roman" w:hAnsi="Times New Roman" w:cs="Times New Roman"/>
                <w:sz w:val="28"/>
              </w:rPr>
            </w:pPr>
          </w:p>
        </w:tc>
        <w:tc>
          <w:tcPr>
            <w:tcW w:w="1336" w:type="dxa"/>
          </w:tcPr>
          <w:p w14:paraId="53C486EE" w14:textId="77777777" w:rsidR="00013A09" w:rsidRDefault="00013A09" w:rsidP="00013A09">
            <w:pPr>
              <w:spacing w:after="0" w:line="360" w:lineRule="auto"/>
              <w:rPr>
                <w:rFonts w:ascii="Times New Roman" w:hAnsi="Times New Roman" w:cs="Times New Roman"/>
                <w:sz w:val="28"/>
              </w:rPr>
            </w:pPr>
          </w:p>
        </w:tc>
        <w:tc>
          <w:tcPr>
            <w:tcW w:w="1337" w:type="dxa"/>
          </w:tcPr>
          <w:p w14:paraId="35794482" w14:textId="77777777" w:rsidR="00013A09" w:rsidRDefault="00013A09" w:rsidP="00013A09">
            <w:pPr>
              <w:spacing w:after="0" w:line="360" w:lineRule="auto"/>
              <w:rPr>
                <w:rFonts w:ascii="Times New Roman" w:hAnsi="Times New Roman" w:cs="Times New Roman"/>
                <w:sz w:val="28"/>
              </w:rPr>
            </w:pPr>
          </w:p>
        </w:tc>
        <w:tc>
          <w:tcPr>
            <w:tcW w:w="1337" w:type="dxa"/>
          </w:tcPr>
          <w:p w14:paraId="08460639" w14:textId="77777777" w:rsidR="00013A09" w:rsidRDefault="00013A09" w:rsidP="00013A09">
            <w:pPr>
              <w:spacing w:after="0" w:line="360" w:lineRule="auto"/>
              <w:rPr>
                <w:rFonts w:ascii="Times New Roman" w:hAnsi="Times New Roman" w:cs="Times New Roman"/>
                <w:sz w:val="28"/>
              </w:rPr>
            </w:pPr>
          </w:p>
        </w:tc>
        <w:tc>
          <w:tcPr>
            <w:tcW w:w="1337" w:type="dxa"/>
          </w:tcPr>
          <w:p w14:paraId="016967C4" w14:textId="77777777" w:rsidR="00013A09" w:rsidRDefault="00013A09" w:rsidP="00013A09">
            <w:pPr>
              <w:spacing w:after="0" w:line="360" w:lineRule="auto"/>
              <w:rPr>
                <w:rFonts w:ascii="Times New Roman" w:hAnsi="Times New Roman" w:cs="Times New Roman"/>
                <w:sz w:val="28"/>
              </w:rPr>
            </w:pPr>
          </w:p>
        </w:tc>
      </w:tr>
      <w:tr w:rsidR="00013A09" w14:paraId="13A44D06" w14:textId="77777777" w:rsidTr="00013A09">
        <w:tblPrEx>
          <w:tblCellMar>
            <w:top w:w="0" w:type="dxa"/>
            <w:bottom w:w="0" w:type="dxa"/>
          </w:tblCellMar>
        </w:tblPrEx>
        <w:tc>
          <w:tcPr>
            <w:tcW w:w="1336" w:type="dxa"/>
          </w:tcPr>
          <w:p w14:paraId="7E4FC93A" w14:textId="486260BC"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Indonesia</w:t>
            </w:r>
          </w:p>
        </w:tc>
        <w:tc>
          <w:tcPr>
            <w:tcW w:w="1336" w:type="dxa"/>
          </w:tcPr>
          <w:p w14:paraId="55E7A005" w14:textId="0125EC22"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77%</w:t>
            </w:r>
          </w:p>
        </w:tc>
        <w:tc>
          <w:tcPr>
            <w:tcW w:w="1336" w:type="dxa"/>
          </w:tcPr>
          <w:p w14:paraId="31F2B3AA" w14:textId="26E0940B"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~$15B</w:t>
            </w:r>
          </w:p>
        </w:tc>
        <w:tc>
          <w:tcPr>
            <w:tcW w:w="1336" w:type="dxa"/>
          </w:tcPr>
          <w:p w14:paraId="46E33E0D" w14:textId="109C2C9D"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~$10.86B</w:t>
            </w:r>
          </w:p>
        </w:tc>
        <w:tc>
          <w:tcPr>
            <w:tcW w:w="1337" w:type="dxa"/>
          </w:tcPr>
          <w:p w14:paraId="16D04288" w14:textId="52682E01"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14.3% to 2025</w:t>
            </w:r>
          </w:p>
        </w:tc>
        <w:tc>
          <w:tcPr>
            <w:tcW w:w="1337" w:type="dxa"/>
          </w:tcPr>
          <w:p w14:paraId="4E950BA9" w14:textId="01B9CFF2"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Yes -- OJK (tightening</w:t>
            </w:r>
          </w:p>
        </w:tc>
        <w:tc>
          <w:tcPr>
            <w:tcW w:w="1337" w:type="dxa"/>
          </w:tcPr>
          <w:p w14:paraId="46ED2B56" w14:textId="506B1E2D"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Crowded market; entry</w:t>
            </w:r>
          </w:p>
        </w:tc>
      </w:tr>
      <w:tr w:rsidR="00013A09" w14:paraId="6376F844" w14:textId="77777777" w:rsidTr="00013A09">
        <w:tblPrEx>
          <w:tblCellMar>
            <w:top w:w="0" w:type="dxa"/>
            <w:bottom w:w="0" w:type="dxa"/>
          </w:tblCellMar>
        </w:tblPrEx>
        <w:tc>
          <w:tcPr>
            <w:tcW w:w="1336" w:type="dxa"/>
          </w:tcPr>
          <w:p w14:paraId="212B9D4C" w14:textId="38718515"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since Dec 2024)</w:t>
            </w:r>
          </w:p>
        </w:tc>
        <w:tc>
          <w:tcPr>
            <w:tcW w:w="1336" w:type="dxa"/>
          </w:tcPr>
          <w:p w14:paraId="213E3657" w14:textId="760B5436"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costs rising</w:t>
            </w:r>
          </w:p>
        </w:tc>
        <w:tc>
          <w:tcPr>
            <w:tcW w:w="1336" w:type="dxa"/>
          </w:tcPr>
          <w:p w14:paraId="6AB77741" w14:textId="77777777" w:rsidR="00013A09" w:rsidRDefault="00013A09" w:rsidP="00013A09">
            <w:pPr>
              <w:spacing w:after="0" w:line="360" w:lineRule="auto"/>
              <w:rPr>
                <w:rFonts w:ascii="Times New Roman" w:hAnsi="Times New Roman" w:cs="Times New Roman"/>
                <w:sz w:val="28"/>
              </w:rPr>
            </w:pPr>
          </w:p>
        </w:tc>
        <w:tc>
          <w:tcPr>
            <w:tcW w:w="1336" w:type="dxa"/>
          </w:tcPr>
          <w:p w14:paraId="1B66D5AD" w14:textId="77777777" w:rsidR="00013A09" w:rsidRDefault="00013A09" w:rsidP="00013A09">
            <w:pPr>
              <w:spacing w:after="0" w:line="360" w:lineRule="auto"/>
              <w:rPr>
                <w:rFonts w:ascii="Times New Roman" w:hAnsi="Times New Roman" w:cs="Times New Roman"/>
                <w:sz w:val="28"/>
              </w:rPr>
            </w:pPr>
          </w:p>
        </w:tc>
        <w:tc>
          <w:tcPr>
            <w:tcW w:w="1337" w:type="dxa"/>
          </w:tcPr>
          <w:p w14:paraId="53201840" w14:textId="77777777" w:rsidR="00013A09" w:rsidRDefault="00013A09" w:rsidP="00013A09">
            <w:pPr>
              <w:spacing w:after="0" w:line="360" w:lineRule="auto"/>
              <w:rPr>
                <w:rFonts w:ascii="Times New Roman" w:hAnsi="Times New Roman" w:cs="Times New Roman"/>
                <w:sz w:val="28"/>
              </w:rPr>
            </w:pPr>
          </w:p>
        </w:tc>
        <w:tc>
          <w:tcPr>
            <w:tcW w:w="1337" w:type="dxa"/>
          </w:tcPr>
          <w:p w14:paraId="114F3741" w14:textId="77777777" w:rsidR="00013A09" w:rsidRDefault="00013A09" w:rsidP="00013A09">
            <w:pPr>
              <w:spacing w:after="0" w:line="360" w:lineRule="auto"/>
              <w:rPr>
                <w:rFonts w:ascii="Times New Roman" w:hAnsi="Times New Roman" w:cs="Times New Roman"/>
                <w:sz w:val="28"/>
              </w:rPr>
            </w:pPr>
          </w:p>
        </w:tc>
        <w:tc>
          <w:tcPr>
            <w:tcW w:w="1337" w:type="dxa"/>
          </w:tcPr>
          <w:p w14:paraId="27077096" w14:textId="77777777" w:rsidR="00013A09" w:rsidRDefault="00013A09" w:rsidP="00013A09">
            <w:pPr>
              <w:spacing w:after="0" w:line="360" w:lineRule="auto"/>
              <w:rPr>
                <w:rFonts w:ascii="Times New Roman" w:hAnsi="Times New Roman" w:cs="Times New Roman"/>
                <w:sz w:val="28"/>
              </w:rPr>
            </w:pPr>
          </w:p>
        </w:tc>
      </w:tr>
      <w:tr w:rsidR="00013A09" w14:paraId="61ACB06E" w14:textId="77777777" w:rsidTr="00013A09">
        <w:tblPrEx>
          <w:tblCellMar>
            <w:top w:w="0" w:type="dxa"/>
            <w:bottom w:w="0" w:type="dxa"/>
          </w:tblCellMar>
        </w:tblPrEx>
        <w:tc>
          <w:tcPr>
            <w:tcW w:w="1336" w:type="dxa"/>
          </w:tcPr>
          <w:p w14:paraId="661F375F" w14:textId="2BAA96CD"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lastRenderedPageBreak/>
              <w:t>Thailand</w:t>
            </w:r>
          </w:p>
        </w:tc>
        <w:tc>
          <w:tcPr>
            <w:tcW w:w="1336" w:type="dxa"/>
          </w:tcPr>
          <w:p w14:paraId="569C1C37" w14:textId="4A6801A0"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~40%</w:t>
            </w:r>
          </w:p>
        </w:tc>
        <w:tc>
          <w:tcPr>
            <w:tcW w:w="1336" w:type="dxa"/>
          </w:tcPr>
          <w:p w14:paraId="3DF3489E" w14:textId="13133816"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Growing</w:t>
            </w:r>
          </w:p>
        </w:tc>
        <w:tc>
          <w:tcPr>
            <w:tcW w:w="1336" w:type="dxa"/>
          </w:tcPr>
          <w:p w14:paraId="393598AF" w14:textId="635B591D"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n/a</w:t>
            </w:r>
          </w:p>
        </w:tc>
        <w:tc>
          <w:tcPr>
            <w:tcW w:w="1337" w:type="dxa"/>
          </w:tcPr>
          <w:p w14:paraId="582F4FC2" w14:textId="4276A56C"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n/a</w:t>
            </w:r>
          </w:p>
        </w:tc>
        <w:tc>
          <w:tcPr>
            <w:tcW w:w="1337" w:type="dxa"/>
          </w:tcPr>
          <w:p w14:paraId="2A13ABAE" w14:textId="5CB4EBB0"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Yes -- BOT virtual bank</w:t>
            </w:r>
          </w:p>
        </w:tc>
        <w:tc>
          <w:tcPr>
            <w:tcW w:w="1337" w:type="dxa"/>
          </w:tcPr>
          <w:p w14:paraId="4FAE02C2" w14:textId="23C29568"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Capital requirement ($140M+)</w:t>
            </w:r>
          </w:p>
        </w:tc>
      </w:tr>
      <w:tr w:rsidR="00013A09" w14:paraId="0219E414" w14:textId="77777777" w:rsidTr="00013A09">
        <w:tblPrEx>
          <w:tblCellMar>
            <w:top w:w="0" w:type="dxa"/>
            <w:bottom w:w="0" w:type="dxa"/>
          </w:tblCellMar>
        </w:tblPrEx>
        <w:tc>
          <w:tcPr>
            <w:tcW w:w="1336" w:type="dxa"/>
          </w:tcPr>
          <w:p w14:paraId="38F951A4" w14:textId="7AEA81C8"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(THB 5B minimum capital)</w:t>
            </w:r>
          </w:p>
        </w:tc>
        <w:tc>
          <w:tcPr>
            <w:tcW w:w="1336" w:type="dxa"/>
          </w:tcPr>
          <w:p w14:paraId="4FBDC6B6" w14:textId="1181CF0B"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exceeds Salmon's total funding</w:t>
            </w:r>
          </w:p>
        </w:tc>
        <w:tc>
          <w:tcPr>
            <w:tcW w:w="1336" w:type="dxa"/>
          </w:tcPr>
          <w:p w14:paraId="3E7D0E8E" w14:textId="77777777" w:rsidR="00013A09" w:rsidRDefault="00013A09" w:rsidP="00013A09">
            <w:pPr>
              <w:spacing w:after="0" w:line="360" w:lineRule="auto"/>
              <w:rPr>
                <w:rFonts w:ascii="Times New Roman" w:hAnsi="Times New Roman" w:cs="Times New Roman"/>
                <w:sz w:val="28"/>
              </w:rPr>
            </w:pPr>
          </w:p>
        </w:tc>
        <w:tc>
          <w:tcPr>
            <w:tcW w:w="1336" w:type="dxa"/>
          </w:tcPr>
          <w:p w14:paraId="5EA440A4" w14:textId="77777777" w:rsidR="00013A09" w:rsidRDefault="00013A09" w:rsidP="00013A09">
            <w:pPr>
              <w:spacing w:after="0" w:line="360" w:lineRule="auto"/>
              <w:rPr>
                <w:rFonts w:ascii="Times New Roman" w:hAnsi="Times New Roman" w:cs="Times New Roman"/>
                <w:sz w:val="28"/>
              </w:rPr>
            </w:pPr>
          </w:p>
        </w:tc>
        <w:tc>
          <w:tcPr>
            <w:tcW w:w="1337" w:type="dxa"/>
          </w:tcPr>
          <w:p w14:paraId="5E50B25C" w14:textId="77777777" w:rsidR="00013A09" w:rsidRDefault="00013A09" w:rsidP="00013A09">
            <w:pPr>
              <w:spacing w:after="0" w:line="360" w:lineRule="auto"/>
              <w:rPr>
                <w:rFonts w:ascii="Times New Roman" w:hAnsi="Times New Roman" w:cs="Times New Roman"/>
                <w:sz w:val="28"/>
              </w:rPr>
            </w:pPr>
          </w:p>
        </w:tc>
        <w:tc>
          <w:tcPr>
            <w:tcW w:w="1337" w:type="dxa"/>
          </w:tcPr>
          <w:p w14:paraId="58D76B02" w14:textId="77777777" w:rsidR="00013A09" w:rsidRDefault="00013A09" w:rsidP="00013A09">
            <w:pPr>
              <w:spacing w:after="0" w:line="360" w:lineRule="auto"/>
              <w:rPr>
                <w:rFonts w:ascii="Times New Roman" w:hAnsi="Times New Roman" w:cs="Times New Roman"/>
                <w:sz w:val="28"/>
              </w:rPr>
            </w:pPr>
          </w:p>
        </w:tc>
        <w:tc>
          <w:tcPr>
            <w:tcW w:w="1337" w:type="dxa"/>
          </w:tcPr>
          <w:p w14:paraId="5B3101AB" w14:textId="77777777" w:rsidR="00013A09" w:rsidRDefault="00013A09" w:rsidP="00013A09">
            <w:pPr>
              <w:spacing w:after="0" w:line="360" w:lineRule="auto"/>
              <w:rPr>
                <w:rFonts w:ascii="Times New Roman" w:hAnsi="Times New Roman" w:cs="Times New Roman"/>
                <w:sz w:val="28"/>
              </w:rPr>
            </w:pPr>
          </w:p>
        </w:tc>
      </w:tr>
      <w:tr w:rsidR="00013A09" w14:paraId="0D53D809" w14:textId="77777777" w:rsidTr="00013A09">
        <w:tblPrEx>
          <w:tblCellMar>
            <w:top w:w="0" w:type="dxa"/>
            <w:bottom w:w="0" w:type="dxa"/>
          </w:tblCellMar>
        </w:tblPrEx>
        <w:tc>
          <w:tcPr>
            <w:tcW w:w="1336" w:type="dxa"/>
          </w:tcPr>
          <w:p w14:paraId="364F7668" w14:textId="3BF0965D"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Malaysia</w:t>
            </w:r>
          </w:p>
        </w:tc>
        <w:tc>
          <w:tcPr>
            <w:tcW w:w="1336" w:type="dxa"/>
          </w:tcPr>
          <w:p w14:paraId="217E54E5" w14:textId="17C53E90"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~25%</w:t>
            </w:r>
          </w:p>
        </w:tc>
        <w:tc>
          <w:tcPr>
            <w:tcW w:w="1336" w:type="dxa"/>
          </w:tcPr>
          <w:p w14:paraId="068B88E5" w14:textId="04FDC673"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Developing</w:t>
            </w:r>
          </w:p>
        </w:tc>
        <w:tc>
          <w:tcPr>
            <w:tcW w:w="1336" w:type="dxa"/>
          </w:tcPr>
          <w:p w14:paraId="320F7968" w14:textId="16B2DCBB"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n/a</w:t>
            </w:r>
          </w:p>
        </w:tc>
        <w:tc>
          <w:tcPr>
            <w:tcW w:w="1337" w:type="dxa"/>
          </w:tcPr>
          <w:p w14:paraId="16B157CF" w14:textId="66CAB930"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n/a</w:t>
            </w:r>
          </w:p>
        </w:tc>
        <w:tc>
          <w:tcPr>
            <w:tcW w:w="1337" w:type="dxa"/>
          </w:tcPr>
          <w:p w14:paraId="2C826F8D" w14:textId="0A2F5CAE"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Yes -- BNM sandbox</w:t>
            </w:r>
          </w:p>
        </w:tc>
        <w:tc>
          <w:tcPr>
            <w:tcW w:w="1337" w:type="dxa"/>
          </w:tcPr>
          <w:p w14:paraId="22FE356A" w14:textId="56032473"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Lower unbanked rate;</w:t>
            </w:r>
          </w:p>
        </w:tc>
      </w:tr>
      <w:tr w:rsidR="00013A09" w14:paraId="23DA2A15" w14:textId="77777777" w:rsidTr="00013A09">
        <w:tblPrEx>
          <w:tblCellMar>
            <w:top w:w="0" w:type="dxa"/>
            <w:bottom w:w="0" w:type="dxa"/>
          </w:tblCellMar>
        </w:tblPrEx>
        <w:tc>
          <w:tcPr>
            <w:tcW w:w="1336" w:type="dxa"/>
          </w:tcPr>
          <w:p w14:paraId="64939168" w14:textId="519A342E" w:rsidR="00013A09" w:rsidRPr="00013A09" w:rsidRDefault="00013A09" w:rsidP="00013A09">
            <w:pPr>
              <w:spacing w:after="0" w:line="360" w:lineRule="auto"/>
              <w:rPr>
                <w:rFonts w:ascii="Times New Roman" w:hAnsi="Times New Roman" w:cs="Times New Roman"/>
                <w:sz w:val="22"/>
              </w:rPr>
            </w:pPr>
            <w:r>
              <w:rPr>
                <w:rFonts w:ascii="Times New Roman" w:hAnsi="Times New Roman" w:cs="Times New Roman"/>
                <w:sz w:val="22"/>
              </w:rPr>
              <w:t>smaller addressable market</w:t>
            </w:r>
          </w:p>
        </w:tc>
        <w:tc>
          <w:tcPr>
            <w:tcW w:w="1336" w:type="dxa"/>
          </w:tcPr>
          <w:p w14:paraId="0C3E2F35" w14:textId="77777777" w:rsidR="00013A09" w:rsidRDefault="00013A09" w:rsidP="00013A09">
            <w:pPr>
              <w:spacing w:after="0" w:line="360" w:lineRule="auto"/>
              <w:rPr>
                <w:rFonts w:ascii="Times New Roman" w:hAnsi="Times New Roman" w:cs="Times New Roman"/>
                <w:sz w:val="28"/>
              </w:rPr>
            </w:pPr>
          </w:p>
        </w:tc>
        <w:tc>
          <w:tcPr>
            <w:tcW w:w="1336" w:type="dxa"/>
          </w:tcPr>
          <w:p w14:paraId="48A5B15C" w14:textId="77777777" w:rsidR="00013A09" w:rsidRDefault="00013A09" w:rsidP="00013A09">
            <w:pPr>
              <w:spacing w:after="0" w:line="360" w:lineRule="auto"/>
              <w:rPr>
                <w:rFonts w:ascii="Times New Roman" w:hAnsi="Times New Roman" w:cs="Times New Roman"/>
                <w:sz w:val="28"/>
              </w:rPr>
            </w:pPr>
          </w:p>
        </w:tc>
        <w:tc>
          <w:tcPr>
            <w:tcW w:w="1336" w:type="dxa"/>
          </w:tcPr>
          <w:p w14:paraId="1791FD9A" w14:textId="77777777" w:rsidR="00013A09" w:rsidRDefault="00013A09" w:rsidP="00013A09">
            <w:pPr>
              <w:spacing w:after="0" w:line="360" w:lineRule="auto"/>
              <w:rPr>
                <w:rFonts w:ascii="Times New Roman" w:hAnsi="Times New Roman" w:cs="Times New Roman"/>
                <w:sz w:val="28"/>
              </w:rPr>
            </w:pPr>
          </w:p>
        </w:tc>
        <w:tc>
          <w:tcPr>
            <w:tcW w:w="1337" w:type="dxa"/>
          </w:tcPr>
          <w:p w14:paraId="56BAB4FE" w14:textId="77777777" w:rsidR="00013A09" w:rsidRDefault="00013A09" w:rsidP="00013A09">
            <w:pPr>
              <w:spacing w:after="0" w:line="360" w:lineRule="auto"/>
              <w:rPr>
                <w:rFonts w:ascii="Times New Roman" w:hAnsi="Times New Roman" w:cs="Times New Roman"/>
                <w:sz w:val="28"/>
              </w:rPr>
            </w:pPr>
          </w:p>
        </w:tc>
        <w:tc>
          <w:tcPr>
            <w:tcW w:w="1337" w:type="dxa"/>
          </w:tcPr>
          <w:p w14:paraId="53BE4904" w14:textId="77777777" w:rsidR="00013A09" w:rsidRDefault="00013A09" w:rsidP="00013A09">
            <w:pPr>
              <w:spacing w:after="0" w:line="360" w:lineRule="auto"/>
              <w:rPr>
                <w:rFonts w:ascii="Times New Roman" w:hAnsi="Times New Roman" w:cs="Times New Roman"/>
                <w:sz w:val="28"/>
              </w:rPr>
            </w:pPr>
          </w:p>
        </w:tc>
        <w:tc>
          <w:tcPr>
            <w:tcW w:w="1337" w:type="dxa"/>
          </w:tcPr>
          <w:p w14:paraId="46040900" w14:textId="77777777" w:rsidR="00013A09" w:rsidRDefault="00013A09" w:rsidP="00013A09">
            <w:pPr>
              <w:spacing w:after="0" w:line="360" w:lineRule="auto"/>
              <w:rPr>
                <w:rFonts w:ascii="Times New Roman" w:hAnsi="Times New Roman" w:cs="Times New Roman"/>
                <w:sz w:val="28"/>
              </w:rPr>
            </w:pPr>
          </w:p>
        </w:tc>
      </w:tr>
    </w:tbl>
    <w:p w14:paraId="41BA09EF" w14:textId="77777777" w:rsidR="00013A09" w:rsidRDefault="00013A09" w:rsidP="00013A09">
      <w:pPr>
        <w:spacing w:after="0" w:line="360" w:lineRule="auto"/>
        <w:rPr>
          <w:rFonts w:ascii="Times New Roman" w:hAnsi="Times New Roman" w:cs="Times New Roman"/>
          <w:sz w:val="28"/>
        </w:rPr>
      </w:pPr>
    </w:p>
    <w:p w14:paraId="18433284" w14:textId="3F4579B8"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market selection logic follows from the table. Vietnam is the only market that simultaneously offers a high unbanked rate, a fast-growing lending market projected to be larger than Indonesia's by 2029, a regulatory sandbox specifically designed to accommodate foreign FinTech, and a capital entry pathway that does not require more than Salmon has raised.</w:t>
      </w:r>
    </w:p>
    <w:p w14:paraId="37354E74" w14:textId="2324BB13"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Khanna and Palepu's framework for emerging market strategy [7] is useful here for a dimension that does not appear in any column of Table 2. Their institutional voids argument holds that emerging markets often lack the intermediaries, regulatory structures and information systems that developed-economy strategy assumes are present. In Vietnam, the specific void relevant to Salmon is the credit information gap. The CIC covers fewer than 30% of adults, which means that formal credit scoring based on bureau data is unavailable for most of the target population. Khanna and Palepu [7] also argue that institutional voids are not permanent absences. They are market-creating opportunities for firms that can build or substitute for the missing institution. Salmon's proprietary alternative-data scoring model is, in their framework, a market-creating capability: it fills the credit information void by constructing a proxy credit score from non-bureau behavioral data. That capability becomes more accurate and more valuable with each additional Vietnamese borrower it prices, which means the competitive moat deepens with scale rather than eroding as the market matures.</w:t>
      </w:r>
    </w:p>
    <w:p w14:paraId="7AE798F7" w14:textId="4EC4453A"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institutional voids framing also explains why the analogy to Indonesia is misleading despite the surface similarity in unbanked rates. Indonesia's P2P lending market, having operated for nearly a decade under regulatory supervision, has already generated the data density that makes alternative underwriting models viable for multiple incumbents. Vietnam's market has not. Salmon would be entering a data-thin environment where its scoring model retains differentiation potential that it would not retain in a market where five or six incumbent platforms have already trained competing models on local data.</w:t>
      </w:r>
    </w:p>
    <w:p w14:paraId="602238F3" w14:textId="1BEFB84B" w:rsidR="00013A09" w:rsidRDefault="00013A09" w:rsidP="00013A09">
      <w:pPr>
        <w:spacing w:after="0" w:line="360" w:lineRule="auto"/>
        <w:rPr>
          <w:rFonts w:ascii="Times New Roman" w:hAnsi="Times New Roman" w:cs="Times New Roman"/>
          <w:b/>
          <w:sz w:val="28"/>
        </w:rPr>
      </w:pPr>
      <w:r>
        <w:rPr>
          <w:rFonts w:ascii="Times New Roman" w:hAnsi="Times New Roman" w:cs="Times New Roman"/>
          <w:b/>
          <w:sz w:val="28"/>
        </w:rPr>
        <w:t>SECTION 4: Consumer adoption of digital financial services</w:t>
      </w:r>
    </w:p>
    <w:p w14:paraId="3305CD52" w14:textId="75BF27EE"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Understanding why individual consumers in an emerging market adopt a new financial product is not a peripheral concern for a market entry strategy. Adoption velocity determines the pace at which a FinTech platform achieves the network scale that defends its competitive position against later entrants, and it determines which product features and distribution channels are worth prioritizing before commercial launch.</w:t>
      </w:r>
    </w:p>
    <w:p w14:paraId="5F21ECCA" w14:textId="77171646"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academic literature on consumer adoption of digital financial services has developed substantially since Davis's 1989 Technology Acceptance Model (TAM) [21], but the core tension Davis identified -- between perceived usefulness and perceived ease of use as competing adoption determinants -- remains empirically relevant in markets where both dimensions are materially contested in markets where formal financial infrastructure is thin. Davis [21] proposed that users adopt a technology when they believe it will improve their task performance (perceived usefulness) and when they find it manageable to use without extensive learning investment (perceived ease of use). Applied to consumer lending on a mobile platform, perceived usefulness is approximately: does the loan get approved quickly at a rate the borrower can afford? Perceived ease of use is approximately: can someone with limited formal financial experience complete the application on a low-cost smartphone without assistance?</w:t>
      </w:r>
    </w:p>
    <w:p w14:paraId="635801AA" w14:textId="3E928886"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Both dimensions are achievable through disciplined product design. But the Vietnamese context adds a variable that TAM does not capture and that is often underweighted in emerging-market FinTech entry analysis: perceived institutional trust. A mobile lending application from an unknown Philippine company asking a Vietnamese borrower to submit personal identification documents and behavioral data requires the borrower to trust that the company is legitimate and will honor the loan terms -- and that it will not sell or misuse the data they submit. That trust cannot be assumed on the basis of product quality alone. It must be built, and in markets where informal financial relationships (family credit, community lending networks) have historically been more reliable than formal institutions, it requires active construction rather than passive marketing.</w:t>
      </w:r>
    </w:p>
    <w:p w14:paraId="22920A76" w14:textId="57E83093"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Venkatesh, Morris, Davis and Davis [22] extended TAM into the Unified Theory of Acceptance and Use of Technology (UTAUT), adding social influence and facilitating conditions as adoption predictors and recognizing that age and gender moderate the strength of each predictor. Social influence -- the role of peer recommendation in adoption decisions -- is particularly strong in the Vietnamese consumer context. Informal social networks function as quasi-credit bureaus in the absence of formal ones: a borrower within a community knows who has borrowed from which source and how those transactions resolved. A Vietnamese consumer who borrows from an unknown foreign FinTech platform and repays successfully becomes an endorsement within their network. The first cohort of successful borrowers is therefore a marketing asset as much as a credit event. UTAUT's facilitating conditions component is also directly relevant: Vietnam's government has targeted a reduction in cash transactions to below 10% of consumer payments by 2025, and the state-sponsored push toward digital financial infrastructure (digital identity systems, QR code payment standardization, public awareness campaigns for cashless payments) creates ambient facilitation that no private company's marketing budget can replicate.</w:t>
      </w:r>
    </w:p>
    <w:p w14:paraId="666C779B" w14:textId="7B4987F2"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But standard technology acceptance theory does not fully explain digital credit adoption because it does not distinguish between adoption of a convenience service (mobile payment) and adoption of a financial obligation (consumer loan). Ozili [23] makes this distinction carefully in his analysis of 48 developing countries. He finds that digital payment adoption is driven primarily by smartphone penetration and merchant acceptance network density, while digital credit adoption is driven by the credit gap (the share of adults who cannot access formal credit) and the cost differential between formal and informal credit. Vietnam scores on both dimensions. The share of adults unable to access formal credit is near 80% [17], and the cost differential between a licensed consumer FinTech product at 18-25% annual interest and an informal moneylender at 50%+ represents a 25-30 percentage point annual saving. That differential is a more powerful adoption driver than any feature of the product's user interface.</w:t>
      </w:r>
    </w:p>
    <w:p w14:paraId="1C4C6E70" w14:textId="7563EFCD"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World Bank Findex 2021 data [17] provide the most current quantitative baseline on Vietnamese financial behavior. Among Vietnamese adults who borrowed money in the year preceding the survey, 53% borrowed from family or friends and 28% from a formal financial institution. Informal lenders accounted for the remainder. The 53% figure does not primarily reflect preference for informal credit. It reflects the absence of a viable formal alternative for the majority of the population. That structural absence is the demand-side case for Salmon's entry, stated in measurement rather than in assertion. Also, the 28% who borrowed formally in 2021 [17] represent the visible ceiling of current credit penetration -- the implied potential market is the gap between that figure and the roughly 79% of adults who lack formal banking access altogether.</w:t>
      </w:r>
    </w:p>
    <w:p w14:paraId="39457490" w14:textId="166CE6B1"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Lagna and Ravishankar [14] raise a concern about early adoption dynamics that the more optimistic analyses overlook. They find that early adopters of digital credit products in lower-income emerging market segments tend toward higher risk profiles. Specifically, the first consumers to try a new, unknown lender are disproportionately those who have already been rejected by or cannot approach the formal banking sector, including those with prior default histories and those with income volatility that formal lenders cannot accommodate. This creates an adverse selection problem at launch. Salmon's AI scoring model was trained on Philippine borrower behavioral data. Its calibration for Vietnamese borrower behavior -- which differs in spending patterns, income structure and payment network usage -- will need to run a conservative initial phase in which approval rates are deliberately lower than steady-state targets. Pricing in that initial phase must account for higher portfolio risk than the model's Philippine parameters would suggest. This constraint is real and operationally manageable. It should be priced into the financial projections for a Vietnamese market entry rather than treated as a temporary anomaly that product improvement will quickly resolve.</w:t>
      </w:r>
    </w:p>
    <w:p w14:paraId="685F75BE" w14:textId="6E105331"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Also worth noting in the adoption analysis is a finding from the Findex data [17] that is rarely foregrounded in FinTech market entry assessments: Vietnamese adults have substantially higher rates of mobile money account ownership than their income level would predict based on the global average. The ADB [19] attributes this partly to government-directed digitization programs and partly to the specific structure of Vietnam's retail payment infrastructure, in which QR code payment adoption accelerated rapidly between 2019 and 2022 driven by state investment in VietQR infrastructure. A consumer base that is already habituated to mobile financial transactions is a much easier adoption environment for a mobile lending product than a consumer base encountering digital financial services for the first time.</w:t>
      </w:r>
    </w:p>
    <w:p w14:paraId="595FF4B7" w14:textId="513BFB2E" w:rsidR="00013A09" w:rsidRDefault="00013A09" w:rsidP="00013A09">
      <w:pPr>
        <w:spacing w:after="0" w:line="360" w:lineRule="auto"/>
        <w:rPr>
          <w:rFonts w:ascii="Times New Roman" w:hAnsi="Times New Roman" w:cs="Times New Roman"/>
          <w:b/>
          <w:sz w:val="28"/>
        </w:rPr>
      </w:pPr>
      <w:r>
        <w:rPr>
          <w:rFonts w:ascii="Times New Roman" w:hAnsi="Times New Roman" w:cs="Times New Roman"/>
          <w:b/>
          <w:sz w:val="28"/>
        </w:rPr>
        <w:t>SECTION 5: Regulatory and institutional framework for FinTech market entry</w:t>
      </w:r>
    </w:p>
    <w:p w14:paraId="36619AF4" w14:textId="3C672F26"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regulatory barrier to FinTech market entry in Southeast Asia is the single factor most likely to transform a theoretical market opportunity into an extended delay. A consumer lending platform can have superior technology, compelling unit economics and patient investors. None of that matters without a license, or at minimum a regulatory pathway to one. Vietnam's regulatory architecture governing foreign FinTech market entry has changed substantially since 2023, and the nature of that change is what makes the period from mid-2025 the relevant entry window for Salmon.</w:t>
      </w:r>
    </w:p>
    <w:p w14:paraId="5ED8DEFD" w14:textId="3C03A249"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Vietnam's State Bank of Vietnam (SBV) had been developing a FinTech regulatory framework since at least 2017, when it established a FinTech Steering Committee and published preliminary guidelines for digital payment services. But the framework remained incomplete for consumer lending and credit scoring for most of the intervening period. The result was a prolonged regulatory gap that deterred foreign direct investment in the sector despite the clear market opportunity. Decree 94/2025 [26], which took effect on 1 July 2025, resolved a substantial portion of that uncertainty. The decree establishes a formal sandbox with defined entry criteria and testing periods of up to two years (renewable for up to two additional one-year extensions). Licensing pathways are specified for four covered categories: credit scoring, open banking API services, P2P lending and payment technology.</w:t>
      </w:r>
    </w:p>
    <w:p w14:paraId="276B60DF" w14:textId="67716DE2"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ownership restriction in the decree deserves analysis rather than alarm. Foreign-owned entities can participate fully in the credit scoring and open API service categories. Direct P2P lending through a Vietnamese-registered vehicle requires Vietnamese majority ownership. For Salmon, whose competitive advantage lies in credit scoring infrastructure rather than in balance sheet lending per se, the credit scoring category is the natural sandbox entry point. A sandbox participation as a credit scoring provider, feeding algorithmic outputs to a Vietnamese-licensed consumer lending partner, is also a lower-risk market entry structure than a fully owned lending subsidiary. It allows Salmon to calibrate its scoring model on Vietnamese borrower data before committing to a direct lending license. The two-year testing period builds exactly the operational track record that the SBV would expect to see in a subsequent licensing application.</w:t>
      </w:r>
    </w:p>
    <w:p w14:paraId="360B5A7F" w14:textId="4295198C"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Arner, Barberis and Buckley [24] describe the "regulatory gap" problem: the interval between when a new financial technology is deployed and when regulation catches up creates both opportunity and systemic risk. In their framework, the most attractive entry window for a foreign FinTech is immediately after a regulatory framework is formalized, because the formalization reduces investment uncertainty while the market is still underpenetrated. Vietnam in the second half of 2025 and through 2026 is at precisely that inflection point. Decree 94/2025 reduces the regulatory uncertainty that deterred foreign investors through 2024. The market, as shown in Table 2, remains far from the saturation that characterizes Indonesia's P2P sector after years of operation under OJK supervision.</w:t>
      </w:r>
    </w:p>
    <w:p w14:paraId="7DBA0655" w14:textId="4313F92E"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Philippines provides a useful comparative reference for how a FinTech regulatory sandbox functions in practice. The BSP sandbox, established under BSP Circular 1049 in 2019, permitted digital banking experiments under supervised conditions before the issuance of full digital bank licenses in 2021 [20]. Salmon operates under that framework. Its legal and compliance team therefore already has institutional experience navigating a two-stage regulatory process (sandbox participation followed by substantive license application) in a Southeast Asian central banking context. That experience is not a guarantee of regulatory success in Vietnam, where the SBV's institutional culture and supervisory priorities differ from the BSP's. But it is a genuine organizational advantage over foreign entrants from advanced-economy FinTech markets that have not operated in an emerging market regulatory environment.</w:t>
      </w:r>
    </w:p>
    <w:p w14:paraId="0CEEFD76" w14:textId="30A50DE9"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Zetzsche, Buckley, Arner and Barberis [25] identify the harder problem that follows initial licensing: data governance and cross-border data flow restrictions. Also, their analysis predates Vietnam's 2018 Cybersecurity Law, which makes the operational implications more acute than their general framework suggests. Their argument is that the most significant long-term regulatory challenge for FinTech platforms operating across borders is not licensing (which is legible and negotiable) but data regulation, which is becoming more restrictive globally. Vietnam's Cybersecurity Law of 2018 and its implementing decrees impose data localization requirements on certain categories of personal data, including financial transaction data. A consumer lending platform's credit scoring model depends on processing behavioral and transactional data at scale. If that data must be stored and processed on Vietnamese-resident servers, Salmon's scoring infrastructure will require architectural modification for the local deployment. The cost of that modification is manageable, but it needs to be scoped in the pre-entry planning phase rather than discovered post-launch.</w:t>
      </w:r>
    </w:p>
    <w:p w14:paraId="4F240DDA" w14:textId="03D69FF6"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regulatory comparison between Vietnam and Indonesia reinforces the market selection argument from Section 3. Indonesia's OJK Regulation No. 40 moved regulatory direction toward higher barriers: increased minimum capital, stricter equity rules and mandatory risk model disclosure. Vietnam's Decree 94/2025 moved in the opposite direction: lower barriers at the entry stage through the sandbox mechanism, with higher requirements applied only at the subsequent licensing stage. For Salmon, which does not yet have the balance sheet to commit to full Vietnamese market capitalization on day one, the incremental sandbox-to-license pathway is the operationally viable option.</w:t>
      </w:r>
    </w:p>
    <w:p w14:paraId="6E38255D" w14:textId="7AFE597E" w:rsidR="00013A09" w:rsidRDefault="00013A09" w:rsidP="00013A09">
      <w:pPr>
        <w:spacing w:after="0" w:line="360" w:lineRule="auto"/>
        <w:rPr>
          <w:rFonts w:ascii="Times New Roman" w:hAnsi="Times New Roman" w:cs="Times New Roman"/>
          <w:b/>
          <w:sz w:val="28"/>
        </w:rPr>
      </w:pPr>
      <w:r>
        <w:rPr>
          <w:rFonts w:ascii="Times New Roman" w:hAnsi="Times New Roman" w:cs="Times New Roman"/>
          <w:b/>
          <w:sz w:val="28"/>
        </w:rPr>
        <w:t>SECTION 6: Competitive dynamics and entry mode selection</w:t>
      </w:r>
    </w:p>
    <w:p w14:paraId="6F6DFF65" w14:textId="7461EF90"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entry mode decision is where theoretical analysis must be translated into a structural commitment. Also, it is the decision most sensitive to the specific regulatory constraints of the target market, which is why the generic entry mode typologies in the management literature must be filtered through the Vietnamese regulatory architecture described in Section 5 before they yield actionable conclusions. The preceding sections have established that Vietnam is the analytically defensible expansion target, that the regulatory sandbox provides a structured entry path, and that consumer demand conditions are favorable for a bureau-bypass consumer lending platform. What remains is the question of what organizational form Salmon's Vietnamese presence should take and against what competitive landscape it would be operating.</w:t>
      </w:r>
    </w:p>
    <w:p w14:paraId="13EF7385" w14:textId="12211BFC"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entry mode literature, as filtered through the frameworks in Section 1, produces a reasonably consistent prediction. TCT [6] favors internalization when the technology being deployed is asset-specific and when the contracting environment is uncertain. OLI [3] reaches the same conclusion through ownership advantage protection: the alternative- data scoring model is most fully protected within an owned organizational structure rather than through a licensing arrangement that could enable a Vietnamese partner to develop competing capabilities using Salmon's data. Born Global theory [4] is agnostic about mode but consistent with rapid commitment rather than extended arm's-length relationships.</w:t>
      </w:r>
    </w:p>
    <w:p w14:paraId="4BEBC67F" w14:textId="6780AEC0"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ownership restriction in Decree 94/2025 [26] creates a practical floor on the ownership structure for direct P2P lending: Salmon cannot hold more than 49% of a licensed Vietnamese P2P lending entity under current rules. This pushes the optimal near-term structure toward a joint venture in which Salmon holds the maximum permitted foreign stake while a Vietnamese partner contributes licensing status, customer relationships and regulatory credibility. The value of the Vietnamese partner in this structure is not primarily its capital. It is its existing license, its established relationship with the SBV supervisory team, and its access to a customer base on which Salmon's scoring model can be locally calibrated.</w:t>
      </w:r>
    </w:p>
    <w:p w14:paraId="3F37FE0F" w14:textId="551A173A"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partner selection criterion that follows from Eisenmann, Parker and Van Alstyne's two-sided market analysis [27] is the size of the partner's existing customer or borrower base. Each existing customer who can be pre-scored by Salmon's model before a loan application is submitted adds to the local training dataset that improves model accuracy. A Vietnamese commercial bank or consumer finance company with 300,000-500,000 active customers provides Salmon with an immediate training dataset for Vietnamese market conditions that would otherwise take two to three years to accumulate through organic loan origination. The partner selection decision is, in this framing, as much a data acquisition decision as it is a distribution decision.</w:t>
      </w:r>
    </w:p>
    <w:p w14:paraId="64B62DA1" w14:textId="14C8F1CB"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competitive landscape Salmon would enter reflects Zalan and Toufaily's [13] observation that emerging-market FinTech incumbents are often more formidable than classical disruption theory anticipates. In Vietnam's consumer lending market, the dominant players are not legacy commercial banks offering digital wrappers around manual processes. They are (1) established consumer finance companies with existing operating licenses and borrower portfolios, including FE Credit (VPBank subsidiary, over 16 million customers as of 2022), and (2) platform-embedded lending products from super-apps. Among the latter, ZaloPay (operated through VNG Corporation, with 70 million Zalo users as of 2023) and Shopee Pay (operated through Sea Limited) have begun embedding consumer credit into their primary interfaces.</w:t>
      </w:r>
    </w:p>
    <w:p w14:paraId="5BE64E8C" w14:textId="6657BF11"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Salmon would not be competing against these players primarily on product quality, at least in the first 18 months. It would be competing on distribution access and on credit quality -- its ability to approve loans profitably for borrowers that FE Credit and the super-apps decline or do not reach. That is the specific market position consistent with its alternative-data ownership advantage. Mention [28] argues that the FinTech competitive landscape of the late 2020s will be structured around data-rich platform competition rather than product feature competition. In that framing, Salmon's strategic priority in Vietnam is building a local behavioral dataset large enough to make its scoring model locally competitive, not launching a full-feature banking app. The product roadmap follows the data acquisition logic.</w:t>
      </w:r>
    </w:p>
    <w:p w14:paraId="60C7C10C" w14:textId="7AA44146"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Contractor's [8] caution against premature internationalization is relevant to entry timing as well as to mode. A Vietnamese market entry that prioritizes scale in the first year, before the scoring model is locally calibrated, risks adverse selection at the portfolio level that would take two to three years to work through on a consumer lending book with typical tenors of 12-36 months. The sandbox framework [26] effectively enforces a conservative first phase by restricting direct lending operations to licensed players. But the risk of aggressive growth post-licensing is real, and the entry strategy should explicitly build in a second phase of accelerated growth only after local default rate data from the initial cohort of borrowers is available.</w:t>
      </w:r>
    </w:p>
    <w:p w14:paraId="7DF02201" w14:textId="0055867D" w:rsidR="00013A09" w:rsidRDefault="00013A09" w:rsidP="00013A09">
      <w:pPr>
        <w:spacing w:after="0" w:line="360" w:lineRule="auto"/>
        <w:rPr>
          <w:rFonts w:ascii="Times New Roman" w:hAnsi="Times New Roman" w:cs="Times New Roman"/>
          <w:b/>
          <w:sz w:val="28"/>
        </w:rPr>
      </w:pPr>
      <w:r>
        <w:rPr>
          <w:rFonts w:ascii="Times New Roman" w:hAnsi="Times New Roman" w:cs="Times New Roman"/>
          <w:b/>
          <w:sz w:val="28"/>
        </w:rPr>
        <w:t>SECTION 7: Research gap and theoretical contribution</w:t>
      </w:r>
    </w:p>
    <w:p w14:paraId="01D0F8D5" w14:textId="53DF99CE"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preceding six sections have synthesized evidence on market entry theory, FinTech internationalization, Southeast Asian market structure, consumer adoption dynamics, regulatory frameworks and competitive entry modes. Three interconnected gaps emerge from that synthesis, each of which this thesis addresses directly.</w:t>
      </w:r>
    </w:p>
    <w:p w14:paraId="0CD9D7A7" w14:textId="0D7F6DFD"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most substantial gap is the absence of research on outward internationalization by Southeast Asian FinTech companies. Also -- and this is the more pointed version of the same observation -- the literature treats emerging-market FinTech purely as a destination for investment and regulatory experimentation, not as a source of competitive capabilities that can be exported to structurally similar markets. The literature reviewed in Sections 1 and 2 focuses on three types of actors: US and UK digital banks and payment platforms expanding into emerging markets [9][10][11]; Chinese FinTech companies (Alipay, Ant Group) expanding across Asia [12]; and emerging-market FinTech ecosystems receiving inbound investment [13][14]. Philippine FinTech companies like Salmon, which were built under thin-bureau, high-informal-credit-cost emerging-market conditions and are now seeking to replicate that model in an adjacent market with structurally similar characteristics, represent a category the internationalization literature has not examined.</w:t>
      </w:r>
    </w:p>
    <w:p w14:paraId="0129B06E" w14:textId="37EB4BEF"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Born Global framework [4] predicts rapid internationalization for digital-native firms in general terms but does not analyze the specific advantages and liabilities that accrue to firms whose competitive advantage was built in an emerging market rather than an advanced economy. The OLI framework [3] assumes that ownership advantages are transferable across markets, but it does not account for the fact that an alternative-data scoring model trained on emerging-market behavioral data may have higher portability to neighboring emerging markets than to advanced-economy ones, precisely because the data environment (thin bureau coverage, mobile-first financial behavior, high reliance on informal credit networks) is structurally similar. That portability hypothesis is not tested in any study this review has located.</w:t>
      </w:r>
    </w:p>
    <w:p w14:paraId="45B76CC1" w14:textId="658FFF83"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This thesis contributes the first case-based analysis of an emerging-market consumer lending FinTech company's market entry into a neighboring emerging market, examining whether the competitive advantage built in one institutional-void context transfers to another, and under what conditions.</w:t>
      </w:r>
    </w:p>
    <w:p w14:paraId="1AB9E2E1" w14:textId="2BAF7092"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second gap concerns the regulatory sandbox as a market entry mode. Arner, Barberis and Buckley [24] describe the global proliferation of FinTech sandboxes in general terms. Zetzsche et al. [25] analyze the data governance complications that follow. But neither study examines a regulatory sandbox as a distinct market entry structure -- a vehicle through which a foreign company builds a local operational track record that constitutes the application for a license, rather than simply waiting for one. Decree 94/2025 [26] creates exactly that structure. A foreign FinTech company entering the Vietnamese sandbox is not occupying a regulatory waiting room. It is making an investment in regulatory credibility that determines whether a substantive license will be available at the end of the testing period. That distinction has implications for how market entry strategy is sequenced, funded and managed that existing entry mode frameworks do not capture.</w:t>
      </w:r>
    </w:p>
    <w:p w14:paraId="7E7E4670" w14:textId="075383DD"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third gap is methodological and has implications for how the adoption literature is applied to market entry planning. Consumer lending FinTech has different adoption economics from payment FinTech. Payment adoption is adoption of a convenience service; credit adoption is adoption of a financial obligation with repayment consequences. The adverse selection dynamics at launch, the role of trust in first-time borrower conversion, and the portfolio risk profile of early adopters differ systematically between the two product categories. Ozili [23] and Lagna and Ravishankar [14] approach this distinction without making it the central focus of their analyses. Neither study addresses it in the context of a foreign digital consumer lender's initial cohort in a new emerging market.</w:t>
      </w:r>
    </w:p>
    <w:p w14:paraId="6CFE33EF" w14:textId="231EF938"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This thesis addresses all three gaps through a combination of desk research and case-based analysis of Salmon's strategic situation. The theoretical contribution is a composite framework for consumer lending FinTech market entry in ASEAN emerging markets, integrating Born Global theory [4] for the internationalization decision, OLI analysis [3] for ownership structure, TCT [6] for the partnership governance question, and a re-reading of the regulatory sandbox not as a barrier but as a market entry mode in its own right. The empirical contribution is the application of that composite framework to Vietnam, drawing on Salmon's disclosed financial and operational profile, the market data assembled in Section 3, Vietnam's regulatory documents [26] and the consumer adoption evidence synthesized in Section 4.</w:t>
      </w:r>
    </w:p>
    <w:p w14:paraId="4C51DB5B" w14:textId="7B5912CA" w:rsidR="00013A09" w:rsidRDefault="00013A09" w:rsidP="00013A09">
      <w:pPr>
        <w:spacing w:after="0" w:line="360" w:lineRule="auto"/>
        <w:ind w:firstLine="709"/>
        <w:jc w:val="both"/>
        <w:rPr>
          <w:rFonts w:ascii="Times New Roman" w:hAnsi="Times New Roman" w:cs="Times New Roman"/>
          <w:sz w:val="28"/>
        </w:rPr>
      </w:pPr>
      <w:r>
        <w:rPr>
          <w:rFonts w:ascii="Times New Roman" w:hAnsi="Times New Roman" w:cs="Times New Roman"/>
          <w:sz w:val="28"/>
        </w:rPr>
        <w:t>The research question this thesis pursues is: what market entry strategy should Salmon adopt for its Vietnamese expansion, and which combination of theoretical frameworks best explains the structural choices available to it?</w:t>
      </w:r>
    </w:p>
    <w:p w14:paraId="6C6FC08C" w14:textId="163AB97E" w:rsidR="00013A09" w:rsidRDefault="00013A09" w:rsidP="00013A09">
      <w:pPr>
        <w:spacing w:after="0" w:line="360" w:lineRule="auto"/>
        <w:rPr>
          <w:rFonts w:ascii="Times New Roman" w:hAnsi="Times New Roman" w:cs="Times New Roman"/>
          <w:b/>
          <w:sz w:val="28"/>
        </w:rPr>
      </w:pPr>
      <w:r>
        <w:rPr>
          <w:rFonts w:ascii="Times New Roman" w:hAnsi="Times New Roman" w:cs="Times New Roman"/>
          <w:b/>
          <w:sz w:val="28"/>
        </w:rPr>
        <w:t>REFERENCES</w:t>
      </w:r>
    </w:p>
    <w:p w14:paraId="7B3B4C78" w14:textId="2CF1A270"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 Johanson, J., Vahlne, J.E. The internationalization process of the firm -- A model of knowledge development and increasing foreign market commitments // Journal of International Business Studies. -- 1977. -- Vol. 8, No. 1. -- P. 23--32.</w:t>
      </w:r>
    </w:p>
    <w:p w14:paraId="64DBF463" w14:textId="653B7944"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 Johanson, J., Vahlne, J.E. The Uppsala internationalization process model revisited: From liability of foreignness to liability of outsidership // Journal of International Business Studies. -- 2009. -- Vol. 40, No. 9. -- P. 1411--1431.</w:t>
      </w:r>
    </w:p>
    <w:p w14:paraId="0C8140F3" w14:textId="55A57401"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[3] Dunning, J.H. The eclectic paradigm of international production: A restatement and some possible extensions // Journal of International Business Studies. -- 1988. -- Vol. 19, No. 1. -- P. 1--31.</w:t>
      </w:r>
    </w:p>
    <w:p w14:paraId="52927FEF" w14:textId="5942E497"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[4] Oviatt, B.M., McDougall, P.P. Toward a theory of international new ventures // Journal of International Business Studies. -- 1994. -- Vol. 25, No. 1. -- P. 45--64.</w:t>
      </w:r>
    </w:p>
    <w:p w14:paraId="511F1BE5" w14:textId="317DEE0B"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[5] Barney, J. Firm resources and sustained competitive advantage // Journal of Management. -- 1991. -- Vol. 17, No. 1. -- P. 99--120.</w:t>
      </w:r>
    </w:p>
    <w:p w14:paraId="7B4B96A5" w14:textId="1DDF3D51"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[6] Williamson, O.E. The Economic Institutions of Capitalism / O.E. Williamson. -- New York: Free Press, 1985. -- 450 p.</w:t>
      </w:r>
    </w:p>
    <w:p w14:paraId="6C207D61" w14:textId="3576DA51"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[7] Khanna, T., Palepu, K. Winning in Emerging Markets: A Road Map for Strategy and Execution / T. Khanna, K. Palepu. -- Boston: Harvard Business Press, 2010. -- 260 p.</w:t>
      </w:r>
    </w:p>
    <w:p w14:paraId="03F703AD" w14:textId="3654C868"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[8] Contractor, F.J. Is international business good for companies? The evolutionary or multi-stage theory of internationalization vs. the transaction cost perspective // Management International Review. -- 2007. -- Vol. 47, No. 3. -- P. 453--475.</w:t>
      </w:r>
    </w:p>
    <w:p w14:paraId="2654131D" w14:textId="54630E76"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[9] Gomber, P., Kauffman, R.J., Parker, C., Weber, B.W. On the fintech revolution: Interpreting the forces of innovation, disruption, and transformation in financial services // Journal of Management Information Systems. -- 2018. -- Vol. 35, No. 1. -- P. 220--265.</w:t>
      </w:r>
    </w:p>
    <w:p w14:paraId="52F2E9C6" w14:textId="4BFF266C"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[10] Lee, I., Shin, Y.J. Fintech: Ecosystem, business models, investment decisions, and challenges // Business Horizons. -- 2018. -- Vol. 61, No. 1. -- P. 35--46.</w:t>
      </w:r>
    </w:p>
    <w:p w14:paraId="29C794E5" w14:textId="68A7CDAF"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[11] Arner, D.W., Barberis, J.N., Buckley, R.P. The evolution of fintech: A new post-crisis paradigm? // Georgetown Journal of International Law. -- 2015. -- Vol. 47. -- P. 1271--1319.</w:t>
      </w:r>
    </w:p>
    <w:p w14:paraId="4BBA10CF" w14:textId="3C23BC87"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[12] Claessens, S., Frost, J., Turner, G., Zhu, F. Fintech credit markets around the world: Size, drivers and policy issues // BIS Quarterly Review. -- 2018. -- September. -- P. 29--49.</w:t>
      </w:r>
    </w:p>
    <w:p w14:paraId="3A0BD20C" w14:textId="7285DB4A"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[13] Zalan, T., Toufaily, E. The promise of fintech in emerging markets: Not as disruptive // Contemporary Economics. -- 2017. -- Vol. 11, No. 4. -- P. 415--430.</w:t>
      </w:r>
    </w:p>
    <w:p w14:paraId="29A36480" w14:textId="7C533BE4"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[14] Lagna, A., Ravishankar, M.N. Making the world a better place with fintech research // Information Systems Journal. -- 2022. -- Vol. 32, No. 1. -- P. 61--102.</w:t>
      </w:r>
    </w:p>
    <w:p w14:paraId="11442D9A" w14:textId="7F96395E"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[15] Philippon, T. On fintech and financial inclusion: NBER Working Paper No. 26330 / T. Philippon. -- Cambridge: NBER, 2019. -- 38 p.</w:t>
      </w:r>
    </w:p>
    <w:p w14:paraId="16CF7B57" w14:textId="30BB711A"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[16] Demirguc-Kunt, A., Klapper, L., Singer, D., Ansar, S. The Global Findex Database 2017: Measuring Financial Inclusion and the Fintech Revolution / A. Demirguc-Kunt [et al.]. -- Washington: World Bank, 2018. -- 151 p.</w:t>
      </w:r>
    </w:p>
    <w:p w14:paraId="60E0A109" w14:textId="248EBD99"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[17] World Bank Group. The Global Findex Database 2021: Financial Inclusion, Digital Payments, and Resilience in the Age of COVID-19 / World Bank Group. -- Washington: World Bank, 2022. -- 182 p.</w:t>
      </w:r>
    </w:p>
    <w:p w14:paraId="5C47F32D" w14:textId="4F48F0A5"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[18] Frost, J. The economic forces driving fintech adoption across countries: BIS Working Paper No. 838 / J. Frost. -- Basel: BIS, 2020. -- 37 p.</w:t>
      </w:r>
    </w:p>
    <w:p w14:paraId="35B89A16" w14:textId="05FC16C9"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[19] Asian Development Bank. Fintech for Financial Inclusion: A Framework for Digital Financial Transformation / ADB. -- Manila: ADB, 2021. -- 64 p.</w:t>
      </w:r>
    </w:p>
    <w:p w14:paraId="0F6CB9A5" w14:textId="591AB7EC"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[20] Bangko Sentral ng Pilipinas. Financial Inclusion Survey 2021 / BSP. -- Manila: BSP, 2022. -- 89 p.</w:t>
      </w:r>
    </w:p>
    <w:p w14:paraId="5B6CC881" w14:textId="7754E9E2"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[21] Davis, F.D. Perceived usefulness, perceived ease of use, and user acceptance of information technology // MIS Quarterly. -- 1989. -- Vol. 13, No. 3. -- P. 319--340.</w:t>
      </w:r>
    </w:p>
    <w:p w14:paraId="24A9E85D" w14:textId="254400C4"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[22] Venkatesh, V., Morris, M.G., Davis, G.B., Davis, F.D. User acceptance of information technology: Toward a unified view // MIS Quarterly. -- 2003. -- Vol. 27, No. 3. -- P. 425--478.</w:t>
      </w:r>
    </w:p>
    <w:p w14:paraId="33C6721A" w14:textId="5F14161A"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[23] Ozili, P.K. Impact of digital finance on financial inclusion and stability // Borsa Istanbul Review. -- 2018. -- Vol. 18, No. 4. -- P. 329--340.</w:t>
      </w:r>
    </w:p>
    <w:p w14:paraId="5330F82E" w14:textId="18ADDE1F"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[24] Arner, D.W., Barberis, J., Buckley, R.P. FinTech, RegTech, and the reconceptualization of financial regulation // Northwestern Journal of International Law &amp; Business. -- 2016. -- Vol. 37, No. 3. -- P. 371--413.</w:t>
      </w:r>
    </w:p>
    <w:p w14:paraId="63B2E189" w14:textId="608338D5"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[25] Zetzsche, D.A., Buckley, R.P., Arner, D.W., Barberis, J. From FinTech to TechFin: The regulatory challenges of data-driven finance // New York University Journal of Law and Business. -- 2017. -- Vol. 14, No. 2. -- P. 393--446.</w:t>
      </w:r>
    </w:p>
    <w:p w14:paraId="11098718" w14:textId="35905B9E"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[26] Socialist Republic of Vietnam. Decree No. 94/2025/ND-CP on piloting the implementation of fintech in the banking sector / Government of Vietnam. -- Hanoi: Official Gazette, 2025. -- 28 p.</w:t>
      </w:r>
    </w:p>
    <w:p w14:paraId="671154AE" w14:textId="1EEA7B8B"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[27] Eisenmann, T., Parker, G., Van Alstyne, M. Strategies for two-sided markets // Harvard Business Review. -- 2006. -- Vol. 84, No. 10. -- P. 92--101.</w:t>
      </w:r>
    </w:p>
    <w:p w14:paraId="1992D1C7" w14:textId="3086753E"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[28] Mention, A.L. The future of fintech // Research-Technology Management. -- 2019. -- Vol. 62, No. 4. -- P. 59--63.</w:t>
      </w:r>
    </w:p>
    <w:p w14:paraId="632EC0F1" w14:textId="13ACB824"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[29] Research and Markets. Vietnam Alternative Lending Business Report 2025: A $16.63 Billion Market by 2029. -- Dublin: Research and Markets, 2026. -- 45 p.</w:t>
      </w:r>
    </w:p>
    <w:p w14:paraId="6231814B" w14:textId="203A1295" w:rsidR="00013A09" w:rsidRDefault="00013A09" w:rsidP="00013A09">
      <w:pPr>
        <w:spacing w:after="0" w:line="360" w:lineRule="auto"/>
        <w:rPr>
          <w:rFonts w:ascii="Times New Roman" w:hAnsi="Times New Roman" w:cs="Times New Roman"/>
          <w:sz w:val="28"/>
        </w:rPr>
      </w:pPr>
      <w:r>
        <w:rPr>
          <w:rFonts w:ascii="Times New Roman" w:hAnsi="Times New Roman" w:cs="Times New Roman"/>
          <w:sz w:val="28"/>
        </w:rPr>
        <w:t>[30] SCBX Public Company Limited. SCBX completes acquisition of Home Credit Vietnam: Company announcement, February 2024 / SCBX. -- Bangkok: SCBX, 2024. -- 3 p.</w:t>
      </w:r>
    </w:p>
    <w:p w14:paraId="48E5C9A6" w14:textId="77777777" w:rsidR="00013A09" w:rsidRPr="00013A09" w:rsidRDefault="00013A09" w:rsidP="00013A09">
      <w:pPr>
        <w:spacing w:after="0" w:line="360" w:lineRule="auto"/>
        <w:rPr>
          <w:rFonts w:ascii="Times New Roman" w:hAnsi="Times New Roman" w:cs="Times New Roman"/>
          <w:sz w:val="28"/>
        </w:rPr>
      </w:pPr>
    </w:p>
    <w:sectPr w:rsidR="00013A09" w:rsidRPr="00013A09" w:rsidSect="00013A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A09"/>
    <w:rsid w:val="00013A09"/>
    <w:rsid w:val="001A371F"/>
    <w:rsid w:val="004B1FDA"/>
    <w:rsid w:val="005E1D39"/>
    <w:rsid w:val="006A304A"/>
    <w:rsid w:val="00CE0F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848D"/>
  <w15:chartTrackingRefBased/>
  <w15:docId w15:val="{DAC77D91-2C8C-41EF-87D8-85BD479F8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3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13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13A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13A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13A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13A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3A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3A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3A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3A0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13A0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13A0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13A0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13A0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13A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3A09"/>
    <w:rPr>
      <w:rFonts w:eastAsiaTheme="majorEastAsia" w:cstheme="majorBidi"/>
      <w:color w:val="595959" w:themeColor="text1" w:themeTint="A6"/>
    </w:rPr>
  </w:style>
  <w:style w:type="character" w:customStyle="1" w:styleId="80">
    <w:name w:val="Заголовок 8 Знак"/>
    <w:basedOn w:val="a0"/>
    <w:link w:val="8"/>
    <w:uiPriority w:val="9"/>
    <w:semiHidden/>
    <w:rsid w:val="00013A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3A09"/>
    <w:rPr>
      <w:rFonts w:eastAsiaTheme="majorEastAsia" w:cstheme="majorBidi"/>
      <w:color w:val="272727" w:themeColor="text1" w:themeTint="D8"/>
    </w:rPr>
  </w:style>
  <w:style w:type="paragraph" w:styleId="a3">
    <w:name w:val="Title"/>
    <w:basedOn w:val="a"/>
    <w:next w:val="a"/>
    <w:link w:val="a4"/>
    <w:uiPriority w:val="10"/>
    <w:qFormat/>
    <w:rsid w:val="00013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13A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3A0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13A0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3A09"/>
    <w:pPr>
      <w:spacing w:before="160"/>
      <w:jc w:val="center"/>
    </w:pPr>
    <w:rPr>
      <w:i/>
      <w:iCs/>
      <w:color w:val="404040" w:themeColor="text1" w:themeTint="BF"/>
    </w:rPr>
  </w:style>
  <w:style w:type="character" w:customStyle="1" w:styleId="22">
    <w:name w:val="Цитата 2 Знак"/>
    <w:basedOn w:val="a0"/>
    <w:link w:val="21"/>
    <w:uiPriority w:val="29"/>
    <w:rsid w:val="00013A09"/>
    <w:rPr>
      <w:i/>
      <w:iCs/>
      <w:color w:val="404040" w:themeColor="text1" w:themeTint="BF"/>
    </w:rPr>
  </w:style>
  <w:style w:type="paragraph" w:styleId="a7">
    <w:name w:val="List Paragraph"/>
    <w:basedOn w:val="a"/>
    <w:uiPriority w:val="34"/>
    <w:qFormat/>
    <w:rsid w:val="00013A09"/>
    <w:pPr>
      <w:ind w:left="720"/>
      <w:contextualSpacing/>
    </w:pPr>
  </w:style>
  <w:style w:type="character" w:styleId="a8">
    <w:name w:val="Intense Emphasis"/>
    <w:basedOn w:val="a0"/>
    <w:uiPriority w:val="21"/>
    <w:qFormat/>
    <w:rsid w:val="00013A09"/>
    <w:rPr>
      <w:i/>
      <w:iCs/>
      <w:color w:val="0F4761" w:themeColor="accent1" w:themeShade="BF"/>
    </w:rPr>
  </w:style>
  <w:style w:type="paragraph" w:styleId="a9">
    <w:name w:val="Intense Quote"/>
    <w:basedOn w:val="a"/>
    <w:next w:val="a"/>
    <w:link w:val="aa"/>
    <w:uiPriority w:val="30"/>
    <w:qFormat/>
    <w:rsid w:val="00013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13A09"/>
    <w:rPr>
      <w:i/>
      <w:iCs/>
      <w:color w:val="0F4761" w:themeColor="accent1" w:themeShade="BF"/>
    </w:rPr>
  </w:style>
  <w:style w:type="character" w:styleId="ab">
    <w:name w:val="Intense Reference"/>
    <w:basedOn w:val="a0"/>
    <w:uiPriority w:val="32"/>
    <w:qFormat/>
    <w:rsid w:val="00013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9018</Words>
  <Characters>51404</Characters>
  <Application>Microsoft Office Word</Application>
  <DocSecurity>0</DocSecurity>
  <Lines>428</Lines>
  <Paragraphs>120</Paragraphs>
  <ScaleCrop>false</ScaleCrop>
  <Company/>
  <LinksUpToDate>false</LinksUpToDate>
  <CharactersWithSpaces>60302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Белобжеский Арсений Антонович</dc:creator>
  <cp:keywords/>
  <dc:description/>
  <cp:lastModifiedBy>Белобжеский Арсений Антонович</cp:lastModifiedBy>
  <cp:revision>1</cp:revision>
  <dcterms:created xsi:type="dcterms:W3CDTF">2026-03-05T15:46:00Z</dcterms:created>
  <dcterms:modified xsi:type="dcterms:W3CDTF">2026-03-05T15:46:00Z</dcterms:modified>
</cp:coreProperties>
</file>