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This is an internal document for your reference, please don’t share with 3rd parties.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–</w:t>
      </w:r>
    </w:p>
    <w:p w:rsidR="00000000" w:rsidDel="00000000" w:rsidP="00000000" w:rsidRDefault="00000000" w:rsidRPr="00000000" w14:paraId="00000004">
      <w:pPr>
        <w:ind w:left="0" w:firstLine="0"/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0" w:firstLine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We acquire 60%-100% stakes in companies that provide valuable products or services to the Web3 or Gaming ecosystem and generate $1M - $20M in annual profits.</w:t>
      </w:r>
    </w:p>
    <w:p w:rsidR="00000000" w:rsidDel="00000000" w:rsidP="00000000" w:rsidRDefault="00000000" w:rsidRPr="00000000" w14:paraId="00000006">
      <w:pPr>
        <w:ind w:left="720" w:firstLine="0"/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0" w:firstLine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We don’t invest in startups or participate in token projects or NFTs. </w:t>
      </w:r>
    </w:p>
    <w:p w:rsidR="00000000" w:rsidDel="00000000" w:rsidP="00000000" w:rsidRDefault="00000000" w:rsidRPr="00000000" w14:paraId="00000008">
      <w:pPr>
        <w:ind w:left="720" w:firstLine="0"/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0" w:firstLine="0"/>
        <w:rPr>
          <w:color w:val="222222"/>
          <w:highlight w:val="white"/>
          <w:u w:val="single"/>
        </w:rPr>
      </w:pPr>
      <w:r w:rsidDel="00000000" w:rsidR="00000000" w:rsidRPr="00000000">
        <w:rPr>
          <w:color w:val="222222"/>
          <w:highlight w:val="white"/>
          <w:u w:val="single"/>
          <w:rtl w:val="0"/>
        </w:rPr>
        <w:t xml:space="preserve">Please don’t suggest: </w:t>
      </w:r>
    </w:p>
    <w:p w:rsidR="00000000" w:rsidDel="00000000" w:rsidP="00000000" w:rsidRDefault="00000000" w:rsidRPr="00000000" w14:paraId="0000000A">
      <w:pPr>
        <w:ind w:left="0" w:firstLine="0"/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0" w:firstLine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- Companies that don’t meet the minimum threshold of $1M LTM EBITDA (Last Twelve Months). If they were profitable in 2025 but have now fallen below the minimum, we are not interested in any case.</w:t>
      </w:r>
    </w:p>
    <w:p w:rsidR="00000000" w:rsidDel="00000000" w:rsidP="00000000" w:rsidRDefault="00000000" w:rsidRPr="00000000" w14:paraId="0000000C">
      <w:pPr>
        <w:ind w:left="0" w:firstLine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- Companies that look for Pre-Seed/Seed/Series A/Series B/Series C etc investments. No matter what their "potential" is, we are not going to invest without getting the majority of shares, and we are not paying startup-style valuations.</w:t>
        <w:br w:type="textWrapping"/>
        <w:t xml:space="preserve">- VC-backed companies where valuation is based on potential returns in 2030, not based on past profits. We are not going to be the exit path that the VC-backed companies are looking for, and it is unlikely that we would acquire them. However, some VCs may be looking to divest firms from their portfolio - ones that are not rapidly growing, but stable. In these cases the VCs may be looking just to get some of their invested capital back. The more VC/startup investors, the less likely we ara able to agree on the acquisition price with them.</w:t>
      </w:r>
    </w:p>
    <w:p w:rsidR="00000000" w:rsidDel="00000000" w:rsidP="00000000" w:rsidRDefault="00000000" w:rsidRPr="00000000" w14:paraId="0000000D">
      <w:pPr>
        <w:ind w:left="1440" w:firstLine="0"/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0" w:firstLine="0"/>
        <w:rPr>
          <w:color w:val="222222"/>
          <w:highlight w:val="white"/>
          <w:u w:val="single"/>
        </w:rPr>
      </w:pPr>
      <w:r w:rsidDel="00000000" w:rsidR="00000000" w:rsidRPr="00000000">
        <w:rPr>
          <w:color w:val="222222"/>
          <w:highlight w:val="white"/>
          <w:u w:val="single"/>
          <w:rtl w:val="0"/>
        </w:rPr>
        <w:t xml:space="preserve">Types of Web3 companies we’re looking for:</w:t>
      </w:r>
    </w:p>
    <w:p w:rsidR="00000000" w:rsidDel="00000000" w:rsidP="00000000" w:rsidRDefault="00000000" w:rsidRPr="00000000" w14:paraId="0000000F">
      <w:pPr>
        <w:ind w:left="0" w:firstLine="0"/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0" w:firstLine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- Crypto news/media, eg. CoinMarketCap. </w:t>
      </w:r>
    </w:p>
    <w:p w:rsidR="00000000" w:rsidDel="00000000" w:rsidP="00000000" w:rsidRDefault="00000000" w:rsidRPr="00000000" w14:paraId="00000011">
      <w:pPr>
        <w:ind w:left="0" w:firstLine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- Institutional &amp; Retail Bitcoin/Crypto brokerages and on-ramp /oﬀ-ramp providers, eg. Relai</w:t>
      </w:r>
    </w:p>
    <w:p w:rsidR="00000000" w:rsidDel="00000000" w:rsidP="00000000" w:rsidRDefault="00000000" w:rsidRPr="00000000" w14:paraId="00000012">
      <w:pPr>
        <w:ind w:left="0" w:firstLine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- Institutional custody platforms, eg. BitGo</w:t>
      </w:r>
    </w:p>
    <w:p w:rsidR="00000000" w:rsidDel="00000000" w:rsidP="00000000" w:rsidRDefault="00000000" w:rsidRPr="00000000" w14:paraId="00000013">
      <w:pPr>
        <w:ind w:left="0" w:firstLine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- Bitcoin-backed lending platforms, eg. FireFish</w:t>
      </w:r>
    </w:p>
    <w:p w:rsidR="00000000" w:rsidDel="00000000" w:rsidP="00000000" w:rsidRDefault="00000000" w:rsidRPr="00000000" w14:paraId="00000014">
      <w:pPr>
        <w:ind w:left="0" w:firstLine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- Bitcoin payment processors, eg. OpenNode</w:t>
      </w:r>
    </w:p>
    <w:p w:rsidR="00000000" w:rsidDel="00000000" w:rsidP="00000000" w:rsidRDefault="00000000" w:rsidRPr="00000000" w14:paraId="00000015">
      <w:pPr>
        <w:ind w:left="0" w:firstLine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- OTC trading desks, eg. Coinspaid</w:t>
      </w:r>
    </w:p>
    <w:p w:rsidR="00000000" w:rsidDel="00000000" w:rsidP="00000000" w:rsidRDefault="00000000" w:rsidRPr="00000000" w14:paraId="00000016">
      <w:pPr>
        <w:ind w:left="0" w:firstLine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- Crypto wallet apps, eg. Wallet of Satoshi</w:t>
      </w:r>
    </w:p>
    <w:p w:rsidR="00000000" w:rsidDel="00000000" w:rsidP="00000000" w:rsidRDefault="00000000" w:rsidRPr="00000000" w14:paraId="00000017">
      <w:pPr>
        <w:ind w:left="0" w:firstLine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- BTC ATM firms, eg. Bitcoin Depot</w:t>
      </w:r>
    </w:p>
    <w:p w:rsidR="00000000" w:rsidDel="00000000" w:rsidP="00000000" w:rsidRDefault="00000000" w:rsidRPr="00000000" w14:paraId="00000018">
      <w:pPr>
        <w:ind w:left="0" w:firstLine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- Hardware wallet firms, eg. Ledger</w:t>
      </w:r>
    </w:p>
    <w:p w:rsidR="00000000" w:rsidDel="00000000" w:rsidP="00000000" w:rsidRDefault="00000000" w:rsidRPr="00000000" w14:paraId="00000019">
      <w:pPr>
        <w:ind w:left="0" w:firstLine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- Related software/SaaS firms, eg. Awesome Miner</w:t>
      </w:r>
    </w:p>
    <w:p w:rsidR="00000000" w:rsidDel="00000000" w:rsidP="00000000" w:rsidRDefault="00000000" w:rsidRPr="00000000" w14:paraId="0000001A">
      <w:pPr>
        <w:ind w:left="0" w:firstLine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- Crypto education and ecosystem platforms - eg. bitcoinerjobs.com</w:t>
      </w:r>
    </w:p>
    <w:p w:rsidR="00000000" w:rsidDel="00000000" w:rsidP="00000000" w:rsidRDefault="00000000" w:rsidRPr="00000000" w14:paraId="0000001B">
      <w:pPr>
        <w:ind w:left="0" w:firstLine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- Lightning Network infrastructure providers - eg. Voltage</w:t>
        <w:br w:type="textWrapping"/>
        <w:t xml:space="preserve">- Other Blockchain firms that provide clear value to the ecosystem</w:t>
      </w:r>
    </w:p>
    <w:p w:rsidR="00000000" w:rsidDel="00000000" w:rsidP="00000000" w:rsidRDefault="00000000" w:rsidRPr="00000000" w14:paraId="0000001C">
      <w:pPr>
        <w:ind w:left="0" w:firstLine="0"/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0" w:firstLine="0"/>
        <w:rPr>
          <w:color w:val="222222"/>
          <w:highlight w:val="white"/>
          <w:u w:val="single"/>
        </w:rPr>
      </w:pPr>
      <w:r w:rsidDel="00000000" w:rsidR="00000000" w:rsidRPr="00000000">
        <w:rPr>
          <w:color w:val="222222"/>
          <w:highlight w:val="white"/>
          <w:u w:val="single"/>
          <w:rtl w:val="0"/>
        </w:rPr>
        <w:t xml:space="preserve">We won't acquire:</w:t>
      </w:r>
    </w:p>
    <w:p w:rsidR="00000000" w:rsidDel="00000000" w:rsidP="00000000" w:rsidRDefault="00000000" w:rsidRPr="00000000" w14:paraId="0000001E">
      <w:pPr>
        <w:ind w:left="0" w:firstLine="0"/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0" w:firstLine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- Trading-focused exchanges. However brokerages are fine such as https://coinmotion.com/ </w:t>
      </w:r>
    </w:p>
    <w:p w:rsidR="00000000" w:rsidDel="00000000" w:rsidP="00000000" w:rsidRDefault="00000000" w:rsidRPr="00000000" w14:paraId="00000020">
      <w:pPr>
        <w:ind w:left="0" w:firstLine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- Miners, when hardware is required. However mining software providers etc are fine</w:t>
      </w:r>
    </w:p>
    <w:p w:rsidR="00000000" w:rsidDel="00000000" w:rsidP="00000000" w:rsidRDefault="00000000" w:rsidRPr="00000000" w14:paraId="00000021">
      <w:pPr>
        <w:ind w:left="0" w:firstLine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- Bitcoin treasury firms</w:t>
      </w:r>
    </w:p>
    <w:p w:rsidR="00000000" w:rsidDel="00000000" w:rsidP="00000000" w:rsidRDefault="00000000" w:rsidRPr="00000000" w14:paraId="00000022">
      <w:pPr>
        <w:ind w:left="0" w:firstLine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- Anything that is not a real business but related to their own token or NFT or similar scam</w:t>
      </w:r>
    </w:p>
    <w:p w:rsidR="00000000" w:rsidDel="00000000" w:rsidP="00000000" w:rsidRDefault="00000000" w:rsidRPr="00000000" w14:paraId="00000023">
      <w:pPr>
        <w:ind w:left="0" w:firstLine="0"/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color w:val="222222"/>
          <w:highlight w:val="white"/>
          <w:u w:val="single"/>
        </w:rPr>
      </w:pPr>
      <w:r w:rsidDel="00000000" w:rsidR="00000000" w:rsidRPr="00000000">
        <w:rPr>
          <w:color w:val="222222"/>
          <w:highlight w:val="white"/>
          <w:u w:val="single"/>
          <w:rtl w:val="0"/>
        </w:rPr>
        <w:t xml:space="preserve">Types of Gaming companies we’re looking for:</w:t>
      </w:r>
    </w:p>
    <w:p w:rsidR="00000000" w:rsidDel="00000000" w:rsidP="00000000" w:rsidRDefault="00000000" w:rsidRPr="00000000" w14:paraId="00000025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- Mobile games</w:t>
      </w:r>
    </w:p>
    <w:p w:rsidR="00000000" w:rsidDel="00000000" w:rsidP="00000000" w:rsidRDefault="00000000" w:rsidRPr="00000000" w14:paraId="00000027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- Game development studios</w:t>
      </w:r>
    </w:p>
    <w:p w:rsidR="00000000" w:rsidDel="00000000" w:rsidP="00000000" w:rsidRDefault="00000000" w:rsidRPr="00000000" w14:paraId="00000028">
      <w:pPr>
        <w:rPr>
          <w:i w:val="1"/>
          <w:iCs w:val="1"/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- </w:t>
      </w:r>
      <w:r w:rsidDel="00000000" w:rsidR="00000000" w:rsidRPr="00000000">
        <w:rPr>
          <w:i w:val="1"/>
          <w:iCs w:val="1"/>
          <w:color w:val="222222"/>
          <w:highlight w:val="white"/>
          <w:rtl w:val="0"/>
        </w:rPr>
        <w:t xml:space="preserve">More to be added!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BM Plex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B">
    <w:pPr>
      <w:jc w:val="center"/>
      <w:rPr/>
    </w:pPr>
    <w:r w:rsidDel="00000000" w:rsidR="00000000" w:rsidRPr="00000000">
      <w:rPr>
        <w:color w:val="b7b7b7"/>
        <w:sz w:val="18"/>
        <w:szCs w:val="18"/>
        <w:rtl w:val="0"/>
      </w:rPr>
      <w:t xml:space="preserve">Simple Tech - 2026 - Confidential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9">
    <w:pPr>
      <w:spacing w:after="320" w:line="240" w:lineRule="auto"/>
      <w:jc w:val="right"/>
      <w:rPr>
        <w:rFonts w:ascii="IBM Plex Sans" w:cs="IBM Plex Sans" w:eastAsia="IBM Plex Sans" w:hAnsi="IBM Plex Sans"/>
        <w:color w:val="0f1b2d"/>
      </w:rPr>
    </w:pPr>
    <w:r w:rsidDel="00000000" w:rsidR="00000000" w:rsidRPr="00000000">
      <w:rPr>
        <w:rFonts w:ascii="IBM Plex Sans" w:cs="IBM Plex Sans" w:eastAsia="IBM Plex Sans" w:hAnsi="IBM Plex Sans"/>
        <w:color w:val="0f1b2d"/>
      </w:rPr>
      <w:drawing>
        <wp:inline distB="0" distT="0" distL="0" distR="0">
          <wp:extent cx="1409700" cy="381000"/>
          <wp:effectExtent b="0" l="0" r="0" t="0"/>
          <wp:docPr descr="Logo" id="1" name="image1.png"/>
          <a:graphic>
            <a:graphicData uri="http://schemas.openxmlformats.org/drawingml/2006/picture">
              <pic:pic>
                <pic:nvPicPr>
                  <pic:cNvPr descr="Logo" id="0" name="image1.png"/>
                  <pic:cNvPicPr preferRelativeResize="0"/>
                </pic:nvPicPr>
                <pic:blipFill>
                  <a:blip r:embed="rId1"/>
                  <a:srcRect b="0" l="0" r="15909" t="0"/>
                  <a:stretch>
                    <a:fillRect/>
                  </a:stretch>
                </pic:blipFill>
                <pic:spPr>
                  <a:xfrm>
                    <a:off x="0" y="0"/>
                    <a:ext cx="1409700" cy="3810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A">
    <w:pPr>
      <w:spacing w:after="320" w:line="240" w:lineRule="auto"/>
      <w:jc w:val="right"/>
      <w:rPr>
        <w:rFonts w:ascii="IBM Plex Sans" w:cs="IBM Plex Sans" w:eastAsia="IBM Plex Sans" w:hAnsi="IBM Plex Sans"/>
        <w:color w:val="0f1b2d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BMPlexSans-regular.ttf"/><Relationship Id="rId2" Type="http://schemas.openxmlformats.org/officeDocument/2006/relationships/font" Target="fonts/IBMPlexSans-bold.ttf"/><Relationship Id="rId3" Type="http://schemas.openxmlformats.org/officeDocument/2006/relationships/font" Target="fonts/IBMPlexSans-italic.ttf"/><Relationship Id="rId4" Type="http://schemas.openxmlformats.org/officeDocument/2006/relationships/font" Target="fonts/IBMPlexSans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