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This is an internal document for your reference, please don’t share with 3rd parties.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are the simplified steps of the process: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Identify an off-market deal opportunity</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Confirm with Jonne that the opportunity is not in our active pipeline yet by sharing their website via email jonne@wealthrone.com</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Make contact with the owners/founders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Share them our vision and that we are seeking to acquire/merge with Web3 / gaming companies that generate $1M-$20M EBITDA and would be good to have a casual intro chat to see if it might make sense to collaborate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You can tell that we would like them to continue running the business independently with our support and major benefits. (If they’ve indicated they are looking to exit, we can work with them regardless)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You can share our company presentation (in this same </w:t>
      </w:r>
      <w:hyperlink r:id="rId6">
        <w:r w:rsidDel="00000000" w:rsidR="00000000" w:rsidRPr="00000000">
          <w:rPr>
            <w:color w:val="1155cc"/>
            <w:u w:val="single"/>
            <w:rtl w:val="0"/>
          </w:rPr>
          <w:t xml:space="preserve">folder</w:t>
        </w:r>
      </w:hyperlink>
      <w:r w:rsidDel="00000000" w:rsidR="00000000" w:rsidRPr="00000000">
        <w:rPr>
          <w:rtl w:val="0"/>
        </w:rPr>
        <w:t xml:space="preserve">) if you wish</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Ask if they have materials, decks or similar that they could share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Share the materials &amp; info with Jonne and confirm if we are interested. If they require us to sign NDA before sharing the materials, we are happy to do so, Jonne will sign</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Confirm that their LTM EBITDA is $1M-$20M. You don’t need to know the exact one, and maybe they don’t want to share the exact figure, but we are not willing to move forward if they don’t meet the minimum. Do not schedule a call before this confirmation.</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Schedule a call with the target &amp; Jonne by giving them this link: </w:t>
      </w:r>
      <w:hyperlink r:id="rId7">
        <w:r w:rsidDel="00000000" w:rsidR="00000000" w:rsidRPr="00000000">
          <w:rPr>
            <w:color w:val="1155cc"/>
            <w:u w:val="single"/>
            <w:rtl w:val="0"/>
          </w:rPr>
          <w:t xml:space="preserve">https://calendly.com/wealthrone/intro</w:t>
        </w:r>
      </w:hyperlink>
      <w:r w:rsidDel="00000000" w:rsidR="00000000" w:rsidRPr="00000000">
        <w:rPr>
          <w:rtl w:val="0"/>
        </w:rPr>
        <w:t xml:space="preserve"> . Inform Jonne and he will invite you to the call as well</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We have the intro call</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From this point forward, Jonne can take the lead if you wish, or you can continue leading the process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If the target still makes sense for us, we’ll sign an NDA (if not signed earlier)</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After NDA we’d need to see their P&amp;L</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We study the case a bit more and may ask additional questions etc</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If we like the case, we’ll submit a non-binding LOI (Letter of Intent) which states some of the key deal terms, process etc. We also aim to get exclusivity, so no other buyer could jump in between</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We start a comprehensive due diligence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We decline or make an actual offer</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We negotiate the final terms etc</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In case of a share swap, we give them our shares and receive their shares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We start the post-closing migration process and start to integrate them into our portfolio</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We let their management continue to run the business and support them or start to work with them to find replacement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Their company becomes part of our structure: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Public shareholders / Founders who sold / STH team (Simple Tech Holdings)</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3">
      <w:pPr>
        <w:rPr/>
      </w:pPr>
      <w:r w:rsidDel="00000000" w:rsidR="00000000" w:rsidRPr="00000000">
        <w:rPr>
          <w:rtl w:val="0"/>
        </w:rPr>
        <w:t xml:space="preserve">Nasdaq-listed US-based company, “TopCo”</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5">
      <w:pPr>
        <w:rPr/>
      </w:pPr>
      <w:r w:rsidDel="00000000" w:rsidR="00000000" w:rsidRPr="00000000">
        <w:rPr>
          <w:rtl w:val="0"/>
        </w:rPr>
        <w:t xml:space="preserve">STH ADGM (Abu Dhabi), “HoldCo”</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tl w:val="0"/>
        </w:rPr>
        <w:t xml:space="preserve">Portfolio companies / acquired targets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simple terms, the publicly listed Nasdaq company sits at the top of the group and owns our ADGM holding company (STH), which in turn owns all of the portfolio companies we acquire. When we acquire a business through a share swap, the seller ultimately becomes a shareholder of the listed parent company, allowing them to participate in the upside of the entire platform rather than just their original business. Unlike shares in a private company, these shares are publicly traded, meaning they are liquid and can generally be bought or sold on the stock market (subject to any applicable lock-up periods or insider trading restrictions). They may also be used as collateral for loans.</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jc w:val="center"/>
      <w:rPr/>
    </w:pPr>
    <w:r w:rsidDel="00000000" w:rsidR="00000000" w:rsidRPr="00000000">
      <w:rPr>
        <w:color w:val="b7b7b7"/>
        <w:sz w:val="18"/>
        <w:szCs w:val="18"/>
        <w:rtl w:val="0"/>
      </w:rPr>
      <w:t xml:space="preserve">Simple Tech - 2026 -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spacing w:after="320" w:line="240" w:lineRule="auto"/>
      <w:jc w:val="right"/>
      <w:rPr>
        <w:rFonts w:ascii="IBM Plex Sans" w:cs="IBM Plex Sans" w:eastAsia="IBM Plex Sans" w:hAnsi="IBM Plex Sans"/>
        <w:color w:val="0f1b2d"/>
      </w:rPr>
    </w:pPr>
    <w:r w:rsidDel="00000000" w:rsidR="00000000" w:rsidRPr="00000000">
      <w:rPr>
        <w:rFonts w:ascii="IBM Plex Sans" w:cs="IBM Plex Sans" w:eastAsia="IBM Plex Sans" w:hAnsi="IBM Plex Sans"/>
        <w:color w:val="0f1b2d"/>
      </w:rPr>
      <w:drawing>
        <wp:inline distB="0" distT="0" distL="0" distR="0">
          <wp:extent cx="1409700" cy="381000"/>
          <wp:effectExtent b="0" l="0" r="0" t="0"/>
          <wp:docPr descr="Logo" id="1" name="image1.png"/>
          <a:graphic>
            <a:graphicData uri="http://schemas.openxmlformats.org/drawingml/2006/picture">
              <pic:pic>
                <pic:nvPicPr>
                  <pic:cNvPr descr="Logo" id="0" name="image1.png"/>
                  <pic:cNvPicPr preferRelativeResize="0"/>
                </pic:nvPicPr>
                <pic:blipFill>
                  <a:blip r:embed="rId1"/>
                  <a:srcRect b="0" l="0" r="15909" t="0"/>
                  <a:stretch>
                    <a:fillRect/>
                  </a:stretch>
                </pic:blipFill>
                <pic:spPr>
                  <a:xfrm>
                    <a:off x="0" y="0"/>
                    <a:ext cx="14097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320" w:line="240" w:lineRule="auto"/>
      <w:jc w:val="right"/>
      <w:rPr>
        <w:rFonts w:ascii="IBM Plex Sans" w:cs="IBM Plex Sans" w:eastAsia="IBM Plex Sans" w:hAnsi="IBM Plex Sans"/>
        <w:color w:val="0f1b2d"/>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rive.google.com/drive/folders/1O6RRZhWvz_zvhYIidXqTqH3vxuMPwBhK" TargetMode="External"/><Relationship Id="rId7" Type="http://schemas.openxmlformats.org/officeDocument/2006/relationships/hyperlink" Target="https://calendly.com/wealthrone/intr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