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ЕДИН</w:t>
      </w:r>
    </w:p>
    <w:p>
      <w:pPr>
        <w:pStyle w:val="Subtitle"/>
        <w:jc w:val="center"/>
      </w:pPr>
      <w:r>
        <w:t>Пояснительная записка</w:t>
      </w:r>
    </w:p>
    <w:p/>
    <w:p/>
    <w:p/>
    <w:p/>
    <w:p/>
    <w:p/>
    <w:p/>
    <w:p/>
    <w:p/>
    <w:p/>
    <w:p>
      <w:pPr>
        <w:jc w:val="center"/>
      </w:pPr>
      <w:r>
        <w:t>2026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Обновите содержание: правая кнопка →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Настоящая пояснительная записка описывает назначение, архитектуру, алгоритмы и нормативную базу сервиса ЕДИН (Master Person Index) — единого сервиса идентификации физических лиц для корпоративных информационных систем.</w:t>
      </w:r>
    </w:p>
    <w:p>
      <w:r>
        <w:t>Документ предназначен для технических специалистов, архитекторов, разработчиков и руководства проекта.</w:t>
      </w:r>
    </w:p>
    <w:p>
      <w:pPr>
        <w:pStyle w:val="Heading1"/>
      </w:pPr>
      <w:r>
        <w:t>2. Назначение системы</w:t>
      </w:r>
    </w:p>
    <w:p>
      <w:pPr>
        <w:pStyle w:val="Heading2"/>
      </w:pPr>
      <w:r>
        <w:t>2.1. Проблема</w:t>
      </w:r>
    </w:p>
    <w:p>
      <w:r>
        <w:t>Одна и та же персональная информация поступает из разных корпоративных систем (CRM, ERP, HR, бухгалтерия) в различных форматах, с ошибками и дублями. Без единого сервиса идентификации невозможно определить, относятся ли записи из разных систем к одному лицу.</w:t>
      </w:r>
    </w:p>
    <w:p>
      <w:r>
        <w:t>Пример проблемы:</w:t>
      </w:r>
    </w:p>
    <w:p>
      <w:pPr>
        <w:pStyle w:val="ListBullet"/>
      </w:pPr>
      <w:r>
        <w:t>Система A: Иванов Иван Иванович, ИНН 7707083893</w:t>
      </w:r>
    </w:p>
    <w:p>
      <w:pPr>
        <w:pStyle w:val="ListBullet"/>
      </w:pPr>
      <w:r>
        <w:t>Система B: Иванов И.И., СНИЛС 12345678964</w:t>
      </w:r>
    </w:p>
    <w:p>
      <w:pPr>
        <w:pStyle w:val="ListBullet"/>
      </w:pPr>
      <w:r>
        <w:t>Система C: Иванов Иван, паспорт 4510 123456</w:t>
      </w:r>
    </w:p>
    <w:p>
      <w:r>
        <w:t>Непонятно — одно это лицо или три разных.</w:t>
      </w:r>
    </w:p>
    <w:p>
      <w:pPr>
        <w:pStyle w:val="Heading2"/>
      </w:pPr>
      <w:r>
        <w:t>2.2. Решение</w:t>
      </w:r>
    </w:p>
    <w:p>
      <w:r>
        <w:t>ЕДИН предоставляет единый PersonID (UUID), стабильный на протяжении всего жизненного цикла записи. Все записи из разных систем сопоставляются с единым мастер-записью.</w:t>
      </w:r>
    </w:p>
    <w:p>
      <w:pPr>
        <w:pStyle w:val="Heading2"/>
      </w:pPr>
      <w:r>
        <w:t>2.3. Границы использования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Сервис предназначен для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Сервис НЕ предназначен для</w:t>
            </w:r>
          </w:p>
        </w:tc>
      </w:tr>
      <w:tr>
        <w:tc>
          <w:tcPr>
            <w:tcW w:type="dxa" w:w="2767"/>
          </w:tcPr>
          <w:p>
            <w:r>
              <w:t>Идентификация</w:t>
            </w:r>
          </w:p>
        </w:tc>
        <w:tc>
          <w:tcPr>
            <w:tcW w:type="dxa" w:w="2767"/>
          </w:tcPr>
          <w:p>
            <w:r>
              <w:t>Единое определение лица в корпоративном контуре</w:t>
            </w:r>
          </w:p>
        </w:tc>
        <w:tc>
          <w:tcPr>
            <w:tcW w:type="dxa" w:w="2767"/>
          </w:tcPr>
          <w:p>
            <w:r>
              <w:t>Аутентификация или авторизация</w:t>
            </w:r>
          </w:p>
        </w:tc>
      </w:tr>
      <w:tr>
        <w:tc>
          <w:tcPr>
            <w:tcW w:type="dxa" w:w="2767"/>
          </w:tcPr>
          <w:p>
            <w:r>
              <w:t>Данные</w:t>
            </w:r>
          </w:p>
        </w:tc>
        <w:tc>
          <w:tcPr>
            <w:tcW w:type="dxa" w:w="2767"/>
          </w:tcPr>
          <w:p>
            <w:r>
              <w:t>HMAC-хеши ключей и связи с внешними системами</w:t>
            </w:r>
          </w:p>
        </w:tc>
        <w:tc>
          <w:tcPr>
            <w:tcW w:type="dxa" w:w="2767"/>
          </w:tcPr>
          <w:p>
            <w:r>
              <w:t>Полный комплект ПДн</w:t>
            </w:r>
          </w:p>
        </w:tc>
      </w:tr>
      <w:tr>
        <w:tc>
          <w:tcPr>
            <w:tcW w:type="dxa" w:w="2767"/>
          </w:tcPr>
          <w:p>
            <w:r>
              <w:t>Интеграция</w:t>
            </w:r>
          </w:p>
        </w:tc>
        <w:tc>
          <w:tcPr>
            <w:tcW w:type="dxa" w:w="2767"/>
          </w:tcPr>
          <w:p>
            <w:r>
              <w:t>Стабильный PersonID для кросс-системной интеграции</w:t>
            </w:r>
          </w:p>
        </w:tc>
        <w:tc>
          <w:tcPr>
            <w:tcW w:type="dxa" w:w="2767"/>
          </w:tcPr>
          <w:p>
            <w:r>
              <w:t>Замена карточек учёта</w:t>
            </w:r>
          </w:p>
        </w:tc>
      </w:tr>
      <w:tr>
        <w:tc>
          <w:tcPr>
            <w:tcW w:type="dxa" w:w="2767"/>
          </w:tcPr>
          <w:p>
            <w:r>
              <w:t>Контроль</w:t>
            </w:r>
          </w:p>
        </w:tc>
        <w:tc>
          <w:tcPr>
            <w:tcW w:type="dxa" w:w="2767"/>
          </w:tcPr>
          <w:p>
            <w:r>
              <w:t>Валидация ИНН, СНИЛС, ДУЛ</w:t>
            </w:r>
          </w:p>
        </w:tc>
        <w:tc>
          <w:tcPr>
            <w:tcW w:type="dxa" w:w="2767"/>
          </w:tcPr>
          <w:p>
            <w:r>
              <w:t>Управление доступом</w:t>
            </w:r>
          </w:p>
        </w:tc>
      </w:tr>
      <w:tr>
        <w:tc>
          <w:tcPr>
            <w:tcW w:type="dxa" w:w="2767"/>
          </w:tcPr>
          <w:p>
            <w:r>
              <w:t>Согласие</w:t>
            </w:r>
          </w:p>
        </w:tc>
        <w:tc>
          <w:tcPr>
            <w:tcW w:type="dxa" w:w="2767"/>
          </w:tcPr>
          <w:p>
            <w:r>
              <w:t>Технический механизм удаления данных (cessation)</w:t>
            </w:r>
          </w:p>
        </w:tc>
        <w:tc>
          <w:tcPr>
            <w:tcW w:type="dxa" w:w="2767"/>
          </w:tcPr>
          <w:p>
            <w:r>
              <w:t>Хранение согласий на обработку ПДн</w:t>
            </w:r>
          </w:p>
        </w:tc>
      </w:tr>
    </w:tbl>
    <w:p/>
    <w:p>
      <w:pPr>
        <w:pStyle w:val="Heading1"/>
      </w:pPr>
      <w:r>
        <w:t>3. Нормативная база</w:t>
      </w:r>
    </w:p>
    <w:p>
      <w:pPr>
        <w:pStyle w:val="Heading2"/>
      </w:pPr>
      <w:r>
        <w:t>3.1. Федеральный закон № 152-ФЗ «О персональных данных»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Реализация в ЕДИН</w:t>
            </w:r>
          </w:p>
        </w:tc>
      </w:tr>
      <w:tr>
        <w:tc>
          <w:tcPr>
            <w:tcW w:type="dxa" w:w="2767"/>
          </w:tcPr>
          <w:p>
            <w:r>
              <w:t>ст. 5 п. 1 ч. 1</w:t>
            </w:r>
          </w:p>
        </w:tc>
        <w:tc>
          <w:tcPr>
            <w:tcW w:type="dxa" w:w="2767"/>
          </w:tcPr>
          <w:p>
            <w:r>
              <w:t>Обработка ПДн на основе согласия</w:t>
            </w:r>
          </w:p>
        </w:tc>
        <w:tc>
          <w:tcPr>
            <w:tcW w:type="dxa" w:w="2767"/>
          </w:tcPr>
          <w:p>
            <w:r>
              <w:t>HMAC-хеши не являются ПДн. ФИО используются только в комбинированных ключах</w:t>
            </w:r>
          </w:p>
        </w:tc>
      </w:tr>
      <w:tr>
        <w:tc>
          <w:tcPr>
            <w:tcW w:type="dxa" w:w="2767"/>
          </w:tcPr>
          <w:p>
            <w:r>
              <w:t>ст. 5 п. 5 ч. 5</w:t>
            </w:r>
          </w:p>
        </w:tc>
        <w:tc>
          <w:tcPr>
            <w:tcW w:type="dxa" w:w="2767"/>
          </w:tcPr>
          <w:p>
            <w:r>
              <w:t>Уничтожение ПДн по требованию</w:t>
            </w:r>
          </w:p>
        </w:tc>
        <w:tc>
          <w:tcPr>
            <w:tcW w:type="dxa" w:w="2767"/>
          </w:tcPr>
          <w:p>
            <w:r>
              <w:t>cessation + deferred cessation — транзакционное удаление</w:t>
            </w:r>
          </w:p>
        </w:tc>
      </w:tr>
      <w:tr>
        <w:tc>
          <w:tcPr>
            <w:tcW w:type="dxa" w:w="2767"/>
          </w:tcPr>
          <w:p>
            <w:r>
              <w:t>ст. 14</w:t>
            </w:r>
          </w:p>
        </w:tc>
        <w:tc>
          <w:tcPr>
            <w:tcW w:type="dxa" w:w="2767"/>
          </w:tcPr>
          <w:p>
            <w:r>
              <w:t>Информирование субъекта</w:t>
            </w:r>
          </w:p>
        </w:tc>
        <w:tc>
          <w:tcPr>
            <w:tcW w:type="dxa" w:w="2767"/>
          </w:tcPr>
          <w:p>
            <w:r>
              <w:t>Аудит-лог: PersonId, HMAC-хеши, внешние ID (без ПДн)</w:t>
            </w:r>
          </w:p>
        </w:tc>
      </w:tr>
      <w:tr>
        <w:tc>
          <w:tcPr>
            <w:tcW w:type="dxa" w:w="2767"/>
          </w:tcPr>
          <w:p>
            <w:r>
              <w:t>ст. 21</w:t>
            </w:r>
          </w:p>
        </w:tc>
        <w:tc>
          <w:tcPr>
            <w:tcW w:type="dxa" w:w="2767"/>
          </w:tcPr>
          <w:p>
            <w:r>
              <w:t>Отзыв согласия</w:t>
            </w:r>
          </w:p>
        </w:tc>
        <w:tc>
          <w:tcPr>
            <w:tcW w:type="dxa" w:w="2767"/>
          </w:tcPr>
          <w:p>
            <w:r>
              <w:t>POST /persons/cessation и POST /persons/cessation/deferred</w:t>
            </w:r>
          </w:p>
        </w:tc>
      </w:tr>
    </w:tbl>
    <w:p/>
    <w:p>
      <w:pPr>
        <w:pStyle w:val="Heading2"/>
      </w:pPr>
      <w:r>
        <w:t>3.2. Федеральный закон № 149-ФЗ «Об информации»</w:t>
      </w:r>
    </w:p>
    <w:p>
      <w:pPr>
        <w:pStyle w:val="ListBullet"/>
      </w:pPr>
      <w:r>
        <w:t>ст. 16 ч. 2: Защита информации — PostgreSQL 16, проверка CVE</w:t>
      </w:r>
    </w:p>
    <w:p>
      <w:pPr>
        <w:pStyle w:val="ListBullet"/>
      </w:pPr>
      <w:r>
        <w:t>ст. 16 ч. 3: Конфиденциальность — HMAC-SHA256, секретный ключ в .env</w:t>
      </w:r>
    </w:p>
    <w:p>
      <w:pPr>
        <w:pStyle w:val="Heading2"/>
      </w:pPr>
      <w:r>
        <w:t>3.3. Постановление Правительства РФ № 1119</w:t>
      </w:r>
    </w:p>
    <w:p>
      <w:r>
        <w:t>Уровень защищённости: сервис обрабатывает ПДн в усечённом виде (пункт 11 Правил — данные не позволяют идентифицировать субъекта без внешних ключей).</w:t>
      </w:r>
    </w:p>
    <w:p>
      <w:pPr>
        <w:pStyle w:val="Heading2"/>
      </w:pPr>
      <w:r>
        <w:t>3.4. Приказ ФСТЭК России № 21</w:t>
      </w:r>
    </w:p>
    <w:p>
      <w:pPr>
        <w:pStyle w:val="ListBullet"/>
      </w:pPr>
      <w:r>
        <w:t>Аутентификация — вне scope (TD-002)</w:t>
      </w:r>
    </w:p>
    <w:p>
      <w:pPr>
        <w:pStyle w:val="ListBullet"/>
      </w:pPr>
      <w:r>
        <w:t>Регистрация событий безопасности — аудит-лог</w:t>
      </w:r>
    </w:p>
    <w:p>
      <w:pPr>
        <w:pStyle w:val="ListBullet"/>
      </w:pPr>
      <w:r>
        <w:t>Защита от вредоносного ПО — проверка CVE (tools/check_fstec.py)</w:t>
      </w:r>
    </w:p>
    <w:p>
      <w:pPr>
        <w:pStyle w:val="Heading2"/>
      </w:pPr>
      <w:r>
        <w:t>3.5. ГОСТ Р 57580.1-2017</w:t>
      </w:r>
    </w:p>
    <w:p>
      <w:r>
        <w:t>Идентификация клиентов: ЕДИН обеспечивает единую идентификацию физических лиц для корпоративных систем. Управление рисками: валидация ИНН (10/12 цифр), СНИЛС (11 цифр), ДУЛ.</w:t>
      </w:r>
    </w:p>
    <w:p>
      <w:pPr>
        <w:pStyle w:val="Heading2"/>
      </w:pPr>
      <w:r>
        <w:t>3.6. Постановление Правительства РФ № 1266</w:t>
      </w:r>
    </w:p>
    <w:p>
      <w:r>
        <w:t>Автоматизированная обработка ПДн: все операции через API с логированием. Ограничение обработки целями: только функция идентификации (MPI).</w:t>
      </w:r>
    </w:p>
    <w:p>
      <w:pPr>
        <w:pStyle w:val="Heading1"/>
      </w:pPr>
      <w:r>
        <w:t>4. Архитектура системы</w:t>
      </w:r>
    </w:p>
    <w:p>
      <w:pPr>
        <w:pStyle w:val="Heading2"/>
      </w:pPr>
      <w:r>
        <w:t>4.1. Архитектурные принципы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150"/>
          </w:tcPr>
          <w:p>
            <w:r>
              <w:t>Чистая архитектура</w:t>
            </w:r>
          </w:p>
        </w:tc>
        <w:tc>
          <w:tcPr>
            <w:tcW w:type="dxa" w:w="4150"/>
          </w:tcPr>
          <w:p>
            <w:r>
              <w:t>Зависимости направлены внутрь: Api → Application → Domain ← Infrastructure</w:t>
            </w:r>
          </w:p>
        </w:tc>
      </w:tr>
      <w:tr>
        <w:tc>
          <w:tcPr>
            <w:tcW w:type="dxa" w:w="4150"/>
          </w:tcPr>
          <w:p>
            <w:r>
              <w:t>Domain-Driven Design</w:t>
            </w:r>
          </w:p>
        </w:tc>
        <w:tc>
          <w:tcPr>
            <w:tcW w:type="dxa" w:w="4150"/>
          </w:tcPr>
          <w:p>
            <w:r>
              <w:t>Моделирование через доменные сущности и ограниченные контексты</w:t>
            </w:r>
          </w:p>
        </w:tc>
      </w:tr>
      <w:tr>
        <w:tc>
          <w:tcPr>
            <w:tcW w:type="dxa" w:w="4150"/>
          </w:tcPr>
          <w:p>
            <w:r>
              <w:t>SOLID</w:t>
            </w:r>
          </w:p>
        </w:tc>
        <w:tc>
          <w:tcPr>
            <w:tcW w:type="dxa" w:w="4150"/>
          </w:tcPr>
          <w:p>
            <w:r>
              <w:t>Соблюдение всех пяти принципов</w:t>
            </w:r>
          </w:p>
        </w:tc>
      </w:tr>
      <w:tr>
        <w:tc>
          <w:tcPr>
            <w:tcW w:type="dxa" w:w="4150"/>
          </w:tcPr>
          <w:p>
            <w:r>
              <w:t>Database-First</w:t>
            </w:r>
          </w:p>
        </w:tc>
        <w:tc>
          <w:tcPr>
            <w:tcW w:type="dxa" w:w="4150"/>
          </w:tcPr>
          <w:p>
            <w:r>
              <w:t>Схема БД ведётся каноническим SQL-скриптом</w:t>
            </w:r>
          </w:p>
        </w:tc>
      </w:tr>
    </w:tbl>
    <w:p/>
    <w:p>
      <w:pPr>
        <w:pStyle w:val="Heading2"/>
      </w:pPr>
      <w:r>
        <w:t>4.2. Компоненты системы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767"/>
          </w:tcPr>
          <w:p>
            <w:r>
              <w:t>API</w:t>
            </w:r>
          </w:p>
        </w:tc>
        <w:tc>
          <w:tcPr>
            <w:tcW w:type="dxa" w:w="2767"/>
          </w:tcPr>
          <w:p>
            <w:r>
              <w:t>ASP.NET Core Minimal API</w:t>
            </w:r>
          </w:p>
        </w:tc>
        <w:tc>
          <w:tcPr>
            <w:tcW w:type="dxa" w:w="2767"/>
          </w:tcPr>
          <w:p>
            <w:r>
              <w:t>REST-эндпоинты идентификации</w:t>
            </w:r>
          </w:p>
        </w:tc>
      </w:tr>
      <w:tr>
        <w:tc>
          <w:tcPr>
            <w:tcW w:type="dxa" w:w="2767"/>
          </w:tcPr>
          <w:p>
            <w:r>
              <w:t>Worker</w:t>
            </w:r>
          </w:p>
        </w:tc>
        <w:tc>
          <w:tcPr>
            <w:tcW w:type="dxa" w:w="2767"/>
          </w:tcPr>
          <w:p>
            <w:r>
              <w:t>.NET Generic Host</w:t>
            </w:r>
          </w:p>
        </w:tc>
        <w:tc>
          <w:tcPr>
            <w:tcW w:type="dxa" w:w="2767"/>
          </w:tcPr>
          <w:p>
            <w:r>
              <w:t>Фоновые задачи (реконсилизация)</w:t>
            </w:r>
          </w:p>
        </w:tc>
      </w:tr>
      <w:tr>
        <w:tc>
          <w:tcPr>
            <w:tcW w:type="dxa" w:w="2767"/>
          </w:tcPr>
          <w:p>
            <w:r>
              <w:t>Steward</w:t>
            </w:r>
          </w:p>
        </w:tc>
        <w:tc>
          <w:tcPr>
            <w:tcW w:type="dxa" w:w="2767"/>
          </w:tcPr>
          <w:p>
            <w:r>
              <w:t>ASP.NET Core Razor Pages</w:t>
            </w:r>
          </w:p>
        </w:tc>
        <w:tc>
          <w:tcPr>
            <w:tcW w:type="dxa" w:w="2767"/>
          </w:tcPr>
          <w:p>
            <w:r>
              <w:t>АРМ Стюарда (мониторинг и разбор конфликтов)</w:t>
            </w:r>
          </w:p>
        </w:tc>
      </w:tr>
      <w:tr>
        <w:tc>
          <w:tcPr>
            <w:tcW w:type="dxa" w:w="2767"/>
          </w:tcPr>
          <w:p>
            <w:r>
              <w:t>PostgreSQL</w:t>
            </w:r>
          </w:p>
        </w:tc>
        <w:tc>
          <w:tcPr>
            <w:tcW w:type="dxa" w:w="2767"/>
          </w:tcPr>
          <w:p>
            <w:r>
              <w:t>PostgreSQL 16</w:t>
            </w:r>
          </w:p>
        </w:tc>
        <w:tc>
          <w:tcPr>
            <w:tcW w:type="dxa" w:w="2767"/>
          </w:tcPr>
          <w:p>
            <w:r>
              <w:t>Хранение данных</w:t>
            </w:r>
          </w:p>
        </w:tc>
      </w:tr>
      <w:tr>
        <w:tc>
          <w:tcPr>
            <w:tcW w:type="dxa" w:w="2767"/>
          </w:tcPr>
          <w:p>
            <w:r>
              <w:t>Docker</w:t>
            </w:r>
          </w:p>
        </w:tc>
        <w:tc>
          <w:tcPr>
            <w:tcW w:type="dxa" w:w="2767"/>
          </w:tcPr>
          <w:p>
            <w:r>
              <w:t>Docker Compose</w:t>
            </w:r>
          </w:p>
        </w:tc>
        <w:tc>
          <w:tcPr>
            <w:tcW w:type="dxa" w:w="2767"/>
          </w:tcPr>
          <w:p>
            <w:r>
              <w:t>Оркестрация контейнеров</w:t>
            </w:r>
          </w:p>
        </w:tc>
      </w:tr>
    </w:tbl>
    <w:p/>
    <w:p>
      <w:pPr>
        <w:pStyle w:val="Heading2"/>
      </w:pPr>
      <w:r>
        <w:t>4.3. Структура проекта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SamorodinkaTech.Mnemonios/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├── src/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├── Applications/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│   ├── Api/           # REST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│   ├── Steward/      # АРМ Стюарда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│   └── Worker/       # Фоновые задачи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└── Core/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├── Domain/        # Сущности, интерфейсы, DTO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├── Infrastructure/# EF Core, сервисы, маппинг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└── Common/        # Общие утилиты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├── tests/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├── docs/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├── tools/db/              # SQL-скрипты схемы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└── docker-compose.yml</w:t>
      </w:r>
    </w:p>
    <w:p>
      <w:pPr>
        <w:pStyle w:val="Heading2"/>
      </w:pPr>
      <w:r>
        <w:t>4.4. Схема развёртывания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┌─────────────────┐     ┌─────────────────┐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API (:5000)    │     │  Steward (:5003)│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└────────┬────────┘     └────────┬────────┘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│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└───────────┬───────────┘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┌───────────▼───────────┐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│   PostgreSQL 16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│   (:5432)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└───────────────────────┘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┌───────────────────────┐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│   Worker (cron)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└───────────────────────┘</w:t>
      </w:r>
    </w:p>
    <w:p>
      <w:pPr>
        <w:pStyle w:val="Heading1"/>
      </w:pPr>
      <w:r>
        <w:t>5. Модель данных</w:t>
      </w:r>
    </w:p>
    <w:p>
      <w:pPr>
        <w:pStyle w:val="Heading2"/>
      </w:pPr>
      <w:r>
        <w:t>5.1. Обзорная схема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persons (1) ──┬── (N) person_identification_keys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├── (N) person_external_ids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├── (N) person_defects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├── (N) person_documents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├── (N) person_deferred_cessations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├── (N) person_review_queue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└── (N) person_review_history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ext_persons (1) ──┬── (N) ext_person_defects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├── (N) ext_person_cessations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└── (N) ext_person_deferred_cessations</w:t>
      </w:r>
    </w:p>
    <w:p>
      <w:pPr>
        <w:pStyle w:val="Heading2"/>
      </w:pPr>
      <w:r>
        <w:t>5.2. Золотые таблицы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150"/>
          </w:tcPr>
          <w:p>
            <w:r>
              <w:t>persons</w:t>
            </w:r>
          </w:p>
        </w:tc>
        <w:tc>
          <w:tcPr>
            <w:tcW w:type="dxa" w:w="4150"/>
          </w:tcPr>
          <w:p>
            <w:r>
              <w:t>Единая запись лица (только PersonID + таймстемпы, без ПДн)</w:t>
            </w:r>
          </w:p>
        </w:tc>
      </w:tr>
      <w:tr>
        <w:tc>
          <w:tcPr>
            <w:tcW w:type="dxa" w:w="4150"/>
          </w:tcPr>
          <w:p>
            <w:r>
              <w:t>person_identification_keys</w:t>
            </w:r>
          </w:p>
        </w:tc>
        <w:tc>
          <w:tcPr>
            <w:tcW w:type="dxa" w:w="4150"/>
          </w:tcPr>
          <w:p>
            <w:r>
              <w:t>HMAC-ключи для сопоставления лиц</w:t>
            </w:r>
          </w:p>
        </w:tc>
      </w:tr>
      <w:tr>
        <w:tc>
          <w:tcPr>
            <w:tcW w:type="dxa" w:w="4150"/>
          </w:tcPr>
          <w:p>
            <w:r>
              <w:t>person_external_ids</w:t>
            </w:r>
          </w:p>
        </w:tc>
        <w:tc>
          <w:tcPr>
            <w:tcW w:type="dxa" w:w="4150"/>
          </w:tcPr>
          <w:p>
            <w:r>
              <w:t>Связи с внешними информационными системами</w:t>
            </w:r>
          </w:p>
        </w:tc>
      </w:tr>
      <w:tr>
        <w:tc>
          <w:tcPr>
            <w:tcW w:type="dxa" w:w="4150"/>
          </w:tcPr>
          <w:p>
            <w:r>
              <w:t>person_defects</w:t>
            </w:r>
          </w:p>
        </w:tc>
        <w:tc>
          <w:tcPr>
            <w:tcW w:type="dxa" w:w="4150"/>
          </w:tcPr>
          <w:p>
            <w:r>
              <w:t>Дефекты данных (invalid_inn, invalid_snils, dul_incomplete)</w:t>
            </w:r>
          </w:p>
        </w:tc>
      </w:tr>
      <w:tr>
        <w:tc>
          <w:tcPr>
            <w:tcW w:type="dxa" w:w="4150"/>
          </w:tcPr>
          <w:p>
            <w:r>
              <w:t>person_documents</w:t>
            </w:r>
          </w:p>
        </w:tc>
        <w:tc>
          <w:tcPr>
            <w:tcW w:type="dxa" w:w="4150"/>
          </w:tcPr>
          <w:p>
            <w:r>
              <w:t>Документы (ДУЛ)</w:t>
            </w:r>
          </w:p>
        </w:tc>
      </w:tr>
      <w:tr>
        <w:tc>
          <w:tcPr>
            <w:tcW w:type="dxa" w:w="4150"/>
          </w:tcPr>
          <w:p>
            <w:r>
              <w:t>person_deferred_cessations</w:t>
            </w:r>
          </w:p>
        </w:tc>
        <w:tc>
          <w:tcPr>
            <w:tcW w:type="dxa" w:w="4150"/>
          </w:tcPr>
          <w:p>
            <w:r>
              <w:t>Записи отложенной прекращения обработки ПДн</w:t>
            </w:r>
          </w:p>
        </w:tc>
      </w:tr>
      <w:tr>
        <w:tc>
          <w:tcPr>
            <w:tcW w:type="dxa" w:w="4150"/>
          </w:tcPr>
          <w:p>
            <w:r>
              <w:t>person_review_queue</w:t>
            </w:r>
          </w:p>
        </w:tc>
        <w:tc>
          <w:tcPr>
            <w:tcW w:type="dxa" w:w="4150"/>
          </w:tcPr>
          <w:p>
            <w:r>
              <w:t>Очередь на ручную обработку (Ambiguous)</w:t>
            </w:r>
          </w:p>
        </w:tc>
      </w:tr>
      <w:tr>
        <w:tc>
          <w:tcPr>
            <w:tcW w:type="dxa" w:w="4150"/>
          </w:tcPr>
          <w:p>
            <w:r>
              <w:t>person_review_history</w:t>
            </w:r>
          </w:p>
        </w:tc>
        <w:tc>
          <w:tcPr>
            <w:tcW w:type="dxa" w:w="4150"/>
          </w:tcPr>
          <w:p>
            <w:r>
              <w:t>История разрешённых конфликтов</w:t>
            </w:r>
          </w:p>
        </w:tc>
      </w:tr>
    </w:tbl>
    <w:p/>
    <w:p>
      <w:pPr>
        <w:pStyle w:val="Heading2"/>
      </w:pPr>
      <w:r>
        <w:t>5.3. Staging-таблицы (ext_*)</w:t>
      </w:r>
    </w:p>
    <w:p>
      <w:r>
        <w:t>Staging-таблицы хранят сырые данные всех запросов resolve для аудита. Данные ссылаются на ext_persons, а не на persons. HMAC-ключи stored в staging-таблицах для отслеживания истории.</w:t>
      </w:r>
    </w:p>
    <w:p>
      <w:pPr>
        <w:pStyle w:val="Heading1"/>
      </w:pPr>
      <w:r>
        <w:t>6. Алгоритм идентификации</w:t>
      </w:r>
    </w:p>
    <w:p>
      <w:pPr>
        <w:pStyle w:val="Heading2"/>
      </w:pPr>
      <w:r>
        <w:t>6.1. Нормализация данных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Правила нормализации</w:t>
            </w:r>
          </w:p>
        </w:tc>
      </w:tr>
      <w:tr>
        <w:tc>
          <w:tcPr>
            <w:tcW w:type="dxa" w:w="4150"/>
          </w:tcPr>
          <w:p>
            <w:r>
              <w:t>ФИО</w:t>
            </w:r>
          </w:p>
        </w:tc>
        <w:tc>
          <w:tcPr>
            <w:tcW w:type="dxa" w:w="4150"/>
          </w:tcPr>
          <w:p>
            <w:r>
              <w:t>Trim → схлопывание пробелов → Unicode NFC → ToUpperInvariant</w:t>
            </w:r>
          </w:p>
        </w:tc>
      </w:tr>
      <w:tr>
        <w:tc>
          <w:tcPr>
            <w:tcW w:type="dxa" w:w="4150"/>
          </w:tcPr>
          <w:p>
            <w:r>
              <w:t>ИНН</w:t>
            </w:r>
          </w:p>
        </w:tc>
        <w:tc>
          <w:tcPr>
            <w:tcW w:type="dxa" w:w="4150"/>
          </w:tcPr>
          <w:p>
            <w:r>
              <w:t>Trim → схлопывание → NFC → ToUpperInvariant + валидация (10/12 цифр, контрольная сумма)</w:t>
            </w:r>
          </w:p>
        </w:tc>
      </w:tr>
      <w:tr>
        <w:tc>
          <w:tcPr>
            <w:tcW w:type="dxa" w:w="4150"/>
          </w:tcPr>
          <w:p>
            <w:r>
              <w:t>СНИЛС</w:t>
            </w:r>
          </w:p>
        </w:tc>
        <w:tc>
          <w:tcPr>
            <w:tcW w:type="dxa" w:w="4150"/>
          </w:tcPr>
          <w:p>
            <w:r>
              <w:t>Те же правила + валидация (11 цифр, контрольная сумма)</w:t>
            </w:r>
          </w:p>
        </w:tc>
      </w:tr>
      <w:tr>
        <w:tc>
          <w:tcPr>
            <w:tcW w:type="dxa" w:w="4150"/>
          </w:tcPr>
          <w:p>
            <w:r>
              <w:t>ДУЛ</w:t>
            </w:r>
          </w:p>
        </w:tc>
        <w:tc>
          <w:tcPr>
            <w:tcW w:type="dxa" w:w="4150"/>
          </w:tcPr>
          <w:p>
            <w:r>
              <w:t>Тип: нормализация как ФИО. Серия/номер: trim + collapse. Объединение: type|series|number</w:t>
            </w:r>
          </w:p>
        </w:tc>
      </w:tr>
    </w:tbl>
    <w:p/>
    <w:p>
      <w:pPr>
        <w:pStyle w:val="Heading2"/>
      </w:pPr>
      <w:r>
        <w:t>6.2. Вычисление HMAC-SHA256 ключей</w:t>
      </w:r>
    </w:p>
    <w:p>
      <w:r>
        <w:t>Формируются шесть типов ключей: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Тип ключа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150"/>
          </w:tcPr>
          <w:p>
            <w:r>
              <w:t>inn</w:t>
            </w:r>
          </w:p>
        </w:tc>
        <w:tc>
          <w:tcPr>
            <w:tcW w:type="dxa" w:w="4150"/>
          </w:tcPr>
          <w:p>
            <w:r>
              <w:t>HMAC(normalized_inn)</w:t>
            </w:r>
          </w:p>
        </w:tc>
      </w:tr>
      <w:tr>
        <w:tc>
          <w:tcPr>
            <w:tcW w:type="dxa" w:w="4150"/>
          </w:tcPr>
          <w:p>
            <w:r>
              <w:t>snils</w:t>
            </w:r>
          </w:p>
        </w:tc>
        <w:tc>
          <w:tcPr>
            <w:tcW w:type="dxa" w:w="4150"/>
          </w:tcPr>
          <w:p>
            <w:r>
              <w:t>HMAC(normalized_snils)</w:t>
            </w:r>
          </w:p>
        </w:tc>
      </w:tr>
      <w:tr>
        <w:tc>
          <w:tcPr>
            <w:tcW w:type="dxa" w:w="4150"/>
          </w:tcPr>
          <w:p>
            <w:r>
              <w:t>dul</w:t>
            </w:r>
          </w:p>
        </w:tc>
        <w:tc>
          <w:tcPr>
            <w:tcW w:type="dxa" w:w="4150"/>
          </w:tcPr>
          <w:p>
            <w:r>
              <w:t>HMAC(type|series|number)</w:t>
            </w:r>
          </w:p>
        </w:tc>
      </w:tr>
      <w:tr>
        <w:tc>
          <w:tcPr>
            <w:tcW w:type="dxa" w:w="4150"/>
          </w:tcPr>
          <w:p>
            <w:r>
              <w:t>inn_fio</w:t>
            </w:r>
          </w:p>
        </w:tc>
        <w:tc>
          <w:tcPr>
            <w:tcW w:type="dxa" w:w="4150"/>
          </w:tcPr>
          <w:p>
            <w:r>
              <w:t>HMAC(normalized_inn|fio)</w:t>
            </w:r>
          </w:p>
        </w:tc>
      </w:tr>
      <w:tr>
        <w:tc>
          <w:tcPr>
            <w:tcW w:type="dxa" w:w="4150"/>
          </w:tcPr>
          <w:p>
            <w:r>
              <w:t>snils_fio</w:t>
            </w:r>
          </w:p>
        </w:tc>
        <w:tc>
          <w:tcPr>
            <w:tcW w:type="dxa" w:w="4150"/>
          </w:tcPr>
          <w:p>
            <w:r>
              <w:t>HMAC(normalized_snils|fio)</w:t>
            </w:r>
          </w:p>
        </w:tc>
      </w:tr>
      <w:tr>
        <w:tc>
          <w:tcPr>
            <w:tcW w:type="dxa" w:w="4150"/>
          </w:tcPr>
          <w:p>
            <w:r>
              <w:t>dul_fio</w:t>
            </w:r>
          </w:p>
        </w:tc>
        <w:tc>
          <w:tcPr>
            <w:tcW w:type="dxa" w:w="4150"/>
          </w:tcPr>
          <w:p>
            <w:r>
              <w:t>HMAC(normalized_dul|fio)</w:t>
            </w:r>
          </w:p>
        </w:tc>
      </w:tr>
    </w:tbl>
    <w:p/>
    <w:p>
      <w:r>
        <w:t>Стandalone-ключи fio и fio_full не создаются — ФИО не являются сильным доказательством идентичности.</w:t>
      </w:r>
    </w:p>
    <w:p>
      <w:pPr>
        <w:pStyle w:val="Heading2"/>
      </w:pPr>
      <w:r>
        <w:t>6.3. Поиск совпадений и scoring</w:t>
      </w:r>
    </w:p>
    <w:p>
      <w:r>
        <w:t>Алгоритм определения статуса:</w:t>
      </w:r>
    </w:p>
    <w:p>
      <w:pPr>
        <w:pStyle w:val="ListNumber"/>
      </w:pPr>
      <w:r>
        <w:t>Вычислить все доступные ключи из запроса</w:t>
      </w:r>
    </w:p>
    <w:p>
      <w:pPr>
        <w:pStyle w:val="ListNumber"/>
      </w:pPr>
      <w:r>
        <w:t>Найти все person_identification_keys с совпадающими key_value</w:t>
      </w:r>
    </w:p>
    <w:p>
      <w:pPr>
        <w:pStyle w:val="ListNumber"/>
      </w:pPr>
      <w:r>
        <w:t>Если найдено ровно 1 лицо → Matched</w:t>
      </w:r>
    </w:p>
    <w:p>
      <w:pPr>
        <w:pStyle w:val="ListNumber"/>
      </w:pPr>
      <w:r>
        <w:t>Если 0 лиц → Unmatched (создание нового)</w:t>
      </w:r>
    </w:p>
    <w:p>
      <w:pPr>
        <w:pStyle w:val="ListNumber"/>
      </w:pPr>
      <w:r>
        <w:t>Если &gt;1 лица: есть ИНН, совпадающий ровно с 1 лицом → Auto-merge</w:t>
      </w:r>
    </w:p>
    <w:p>
      <w:pPr>
        <w:pStyle w:val="ListNumber"/>
      </w:pPr>
      <w:r>
        <w:t>Иначе → Ambiguous (конфликт, ручной разбор)</w:t>
      </w:r>
    </w:p>
    <w:p>
      <w:pPr>
        <w:pStyle w:val="Heading2"/>
      </w:pPr>
      <w:r>
        <w:t>6.4. Автоматическое слияние (auto-merge)</w:t>
      </w:r>
    </w:p>
    <w:p>
      <w:r>
        <w:t>Когда при resolve с ИНН совпадение найдено ровно у одного лица — все ключи, внешние ID и документы сливаемого лица переносятся в выживающее через PersonMergeService.</w:t>
      </w:r>
    </w:p>
    <w:p>
      <w:pPr>
        <w:pStyle w:val="Heading2"/>
      </w:pPr>
      <w:r>
        <w:t>6.5. Автозакрытие конфликтов</w:t>
      </w:r>
    </w:p>
    <w:p>
      <w:r>
        <w:t>При последующем resolve для того же externalPersonId с исправленными данными → Ambiguous закрывается автоматически. История сохраняется в person_review_history.</w:t>
      </w:r>
    </w:p>
    <w:p>
      <w:pPr>
        <w:pStyle w:val="Heading1"/>
      </w:pPr>
      <w:r>
        <w:t>7. Прекращение обработки ПДн</w:t>
      </w:r>
    </w:p>
    <w:p>
      <w:pPr>
        <w:pStyle w:val="Heading2"/>
      </w:pPr>
      <w:r>
        <w:t>7.1. Двухфазный подход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767"/>
          </w:tcPr>
          <w:p>
            <w:r>
              <w:t>1</w:t>
            </w:r>
          </w:p>
        </w:tc>
        <w:tc>
          <w:tcPr>
            <w:tcW w:type="dxa" w:w="2767"/>
          </w:tcPr>
          <w:p>
            <w:r>
              <w:t>CeaseProcessingAsync</w:t>
            </w:r>
          </w:p>
        </w:tc>
        <w:tc>
          <w:tcPr>
            <w:tcW w:type="dxa" w:w="2767"/>
          </w:tcPr>
          <w:p>
            <w:r>
              <w:t>Пометить внешние ключи (processing_status = 'cessation')</w:t>
            </w:r>
          </w:p>
        </w:tc>
      </w:tr>
      <w:tr>
        <w:tc>
          <w:tcPr>
            <w:tcW w:type="dxa" w:w="2767"/>
          </w:tcPr>
          <w:p>
            <w:r>
              <w:t>2</w:t>
            </w:r>
          </w:p>
        </w:tc>
        <w:tc>
          <w:tcPr>
            <w:tcW w:type="dxa" w:w="2767"/>
          </w:tcPr>
          <w:p>
            <w:r>
              <w:t>ReconcileAsync</w:t>
            </w:r>
          </w:p>
        </w:tc>
        <w:tc>
          <w:tcPr>
            <w:tcW w:type="dxa" w:w="2767"/>
          </w:tcPr>
          <w:p>
            <w:r>
              <w:t>Удалить помеченные staging-записи и золотые записи (если нет ссылок)</w:t>
            </w:r>
          </w:p>
        </w:tc>
      </w:tr>
    </w:tbl>
    <w:p/>
    <w:p>
      <w:pPr>
        <w:pStyle w:val="Heading2"/>
      </w:pPr>
      <w:r>
        <w:t>7.2. Мгновенный отзыв</w:t>
      </w:r>
    </w:p>
    <w:p>
      <w:r>
        <w:t>POST /persons/cessation — немедленное удаление данных по указанным связям.</w:t>
      </w:r>
    </w:p>
    <w:p>
      <w:pPr>
        <w:pStyle w:val="Heading2"/>
      </w:pPr>
      <w:r>
        <w:t>7.3. Отложенный отзыв</w:t>
      </w:r>
    </w:p>
    <w:p>
      <w:r>
        <w:t>POST /persons/cessation/deferred — запланированное удаление на указанную дату. Если до наступления даты данные будут добавлены снова — отзыв автоматически отменяется.</w:t>
      </w:r>
    </w:p>
    <w:p>
      <w:pPr>
        <w:pStyle w:val="Heading2"/>
      </w:pPr>
      <w:r>
        <w:t>7.4. Реконсилизация (Worker)</w:t>
      </w:r>
    </w:p>
    <w:p>
      <w:r>
        <w:t>Worker выполняет реконсилизацию по cron (по умолчанию каждый час):</w:t>
      </w:r>
    </w:p>
    <w:p>
      <w:pPr>
        <w:pStyle w:val="ListNumber"/>
      </w:pPr>
      <w:r>
        <w:t>ProcessDeferredCessationsAsync — преобразует отложенные отзывы в немедленные</w:t>
      </w:r>
    </w:p>
    <w:p>
      <w:pPr>
        <w:pStyle w:val="ListNumber"/>
      </w:pPr>
      <w:r>
        <w:t>ReconcileAsync — удаляет помеченные записи и orphaned золотые записи</w:t>
      </w:r>
    </w:p>
    <w:p>
      <w:pPr>
        <w:pStyle w:val="Heading2"/>
      </w:pPr>
      <w:r>
        <w:t>7.5. Порядок удаления (FK-безопасность)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#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767"/>
          </w:tcPr>
          <w:p>
            <w:r>
              <w:rPr>
                <w:b/>
              </w:rPr>
              <w:t>FK</w:t>
            </w:r>
          </w:p>
        </w:tc>
      </w:tr>
      <w:tr>
        <w:tc>
          <w:tcPr>
            <w:tcW w:type="dxa" w:w="2767"/>
          </w:tcPr>
          <w:p>
            <w:r>
              <w:t>1</w:t>
            </w:r>
          </w:p>
        </w:tc>
        <w:tc>
          <w:tcPr>
            <w:tcW w:type="dxa" w:w="2767"/>
          </w:tcPr>
          <w:p>
            <w:r>
              <w:t>person_identification_keys</w:t>
            </w:r>
          </w:p>
        </w:tc>
        <w:tc>
          <w:tcPr>
            <w:tcW w:type="dxa" w:w="2767"/>
          </w:tcPr>
          <w:p>
            <w:r>
              <w:t>→ persons(id) RESTRICT</w:t>
            </w:r>
          </w:p>
        </w:tc>
      </w:tr>
      <w:tr>
        <w:tc>
          <w:tcPr>
            <w:tcW w:type="dxa" w:w="2767"/>
          </w:tcPr>
          <w:p>
            <w:r>
              <w:t>2</w:t>
            </w:r>
          </w:p>
        </w:tc>
        <w:tc>
          <w:tcPr>
            <w:tcW w:type="dxa" w:w="2767"/>
          </w:tcPr>
          <w:p>
            <w:r>
              <w:t>person_defects</w:t>
            </w:r>
          </w:p>
        </w:tc>
        <w:tc>
          <w:tcPr>
            <w:tcW w:type="dxa" w:w="2767"/>
          </w:tcPr>
          <w:p>
            <w:r>
              <w:t>→ persons(id) RESTRICT</w:t>
            </w:r>
          </w:p>
        </w:tc>
      </w:tr>
      <w:tr>
        <w:tc>
          <w:tcPr>
            <w:tcW w:type="dxa" w:w="2767"/>
          </w:tcPr>
          <w:p>
            <w:r>
              <w:t>3</w:t>
            </w:r>
          </w:p>
        </w:tc>
        <w:tc>
          <w:tcPr>
            <w:tcW w:type="dxa" w:w="2767"/>
          </w:tcPr>
          <w:p>
            <w:r>
              <w:t>person_documents</w:t>
            </w:r>
          </w:p>
        </w:tc>
        <w:tc>
          <w:tcPr>
            <w:tcW w:type="dxa" w:w="2767"/>
          </w:tcPr>
          <w:p>
            <w:r>
              <w:t>→ persons(id) RESTRICT</w:t>
            </w:r>
          </w:p>
        </w:tc>
      </w:tr>
      <w:tr>
        <w:tc>
          <w:tcPr>
            <w:tcW w:type="dxa" w:w="2767"/>
          </w:tcPr>
          <w:p>
            <w:r>
              <w:t>4</w:t>
            </w:r>
          </w:p>
        </w:tc>
        <w:tc>
          <w:tcPr>
            <w:tcW w:type="dxa" w:w="2767"/>
          </w:tcPr>
          <w:p>
            <w:r>
              <w:t>person_deferred_cessations</w:t>
            </w:r>
          </w:p>
        </w:tc>
        <w:tc>
          <w:tcPr>
            <w:tcW w:type="dxa" w:w="2767"/>
          </w:tcPr>
          <w:p>
            <w:r>
              <w:t>→ persons(id) RESTRICT</w:t>
            </w:r>
          </w:p>
        </w:tc>
      </w:tr>
      <w:tr>
        <w:tc>
          <w:tcPr>
            <w:tcW w:type="dxa" w:w="2767"/>
          </w:tcPr>
          <w:p>
            <w:r>
              <w:t>5</w:t>
            </w:r>
          </w:p>
        </w:tc>
        <w:tc>
          <w:tcPr>
            <w:tcW w:type="dxa" w:w="2767"/>
          </w:tcPr>
          <w:p>
            <w:r>
              <w:t>ext_person_defects</w:t>
            </w:r>
          </w:p>
        </w:tc>
        <w:tc>
          <w:tcPr>
            <w:tcW w:type="dxa" w:w="2767"/>
          </w:tcPr>
          <w:p>
            <w:r>
              <w:t>→ ext_persons(id) RESTRICT</w:t>
            </w:r>
          </w:p>
        </w:tc>
      </w:tr>
      <w:tr>
        <w:tc>
          <w:tcPr>
            <w:tcW w:type="dxa" w:w="2767"/>
          </w:tcPr>
          <w:p>
            <w:r>
              <w:t>6</w:t>
            </w:r>
          </w:p>
        </w:tc>
        <w:tc>
          <w:tcPr>
            <w:tcW w:type="dxa" w:w="2767"/>
          </w:tcPr>
          <w:p>
            <w:r>
              <w:t>ext_persons</w:t>
            </w:r>
          </w:p>
        </w:tc>
        <w:tc>
          <w:tcPr>
            <w:tcW w:type="dxa" w:w="2767"/>
          </w:tcPr>
          <w:p>
            <w:r>
              <w:t>→ persons(id) SET NULL</w:t>
            </w:r>
          </w:p>
        </w:tc>
      </w:tr>
      <w:tr>
        <w:tc>
          <w:tcPr>
            <w:tcW w:type="dxa" w:w="2767"/>
          </w:tcPr>
          <w:p>
            <w:r>
              <w:t>7</w:t>
            </w:r>
          </w:p>
        </w:tc>
        <w:tc>
          <w:tcPr>
            <w:tcW w:type="dxa" w:w="2767"/>
          </w:tcPr>
          <w:p>
            <w:r>
              <w:t>persons</w:t>
            </w:r>
          </w:p>
        </w:tc>
        <w:tc>
          <w:tcPr>
            <w:tcW w:type="dxa" w:w="2767"/>
          </w:tcPr>
          <w:p>
            <w:r>
              <w:t>(корневая таблица)</w:t>
            </w:r>
          </w:p>
        </w:tc>
      </w:tr>
    </w:tbl>
    <w:p/>
    <w:p>
      <w:pPr>
        <w:pStyle w:val="Heading1"/>
      </w:pPr>
      <w:r>
        <w:t>8. API сервиса</w:t>
      </w:r>
    </w:p>
    <w:p>
      <w:r>
        <w:t>Base URL: http://&lt;host&gt;:5000</w:t>
      </w:r>
    </w:p>
    <w:p>
      <w:r>
        <w:t>Swagger UI: http://&lt;host&gt;:5000/swagger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/persons/resolve</w:t>
            </w:r>
          </w:p>
        </w:tc>
        <w:tc>
          <w:tcPr>
            <w:tcW w:type="dxa" w:w="2767"/>
          </w:tcPr>
          <w:p>
            <w:r>
              <w:t>Идентификация лица (поиск или создание)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/persons/{masterId}</w:t>
            </w:r>
          </w:p>
        </w:tc>
        <w:tc>
          <w:tcPr>
            <w:tcW w:type="dxa" w:w="2767"/>
          </w:tcPr>
          <w:p>
            <w:r>
              <w:t>Получение данных лица (без ПДн)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/persons/{masterId}/identifiers</w:t>
            </w:r>
          </w:p>
        </w:tc>
        <w:tc>
          <w:tcPr>
            <w:tcW w:type="dxa" w:w="2767"/>
          </w:tcPr>
          <w:p>
            <w:r>
              <w:t>Добавление связи с внешней системой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/persons/validate/inn</w:t>
            </w:r>
          </w:p>
        </w:tc>
        <w:tc>
          <w:tcPr>
            <w:tcW w:type="dxa" w:w="2767"/>
          </w:tcPr>
          <w:p>
            <w:r>
              <w:t>Валидация ИНН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/persons/validate/snils</w:t>
            </w:r>
          </w:p>
        </w:tc>
        <w:tc>
          <w:tcPr>
            <w:tcW w:type="dxa" w:w="2767"/>
          </w:tcPr>
          <w:p>
            <w:r>
              <w:t>Валидация СНИЛС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/persons/cessation</w:t>
            </w:r>
          </w:p>
        </w:tc>
        <w:tc>
          <w:tcPr>
            <w:tcW w:type="dxa" w:w="2767"/>
          </w:tcPr>
          <w:p>
            <w:r>
              <w:t>Прекращение обработки ПДн (немедленное)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/persons/cessation/deferred</w:t>
            </w:r>
          </w:p>
        </w:tc>
        <w:tc>
          <w:tcPr>
            <w:tcW w:type="dxa" w:w="2767"/>
          </w:tcPr>
          <w:p>
            <w:r>
              <w:t>Отложенное прекращение обработки ПДн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/persons/cessation/reconcile</w:t>
            </w:r>
          </w:p>
        </w:tc>
        <w:tc>
          <w:tcPr>
            <w:tcW w:type="dxa" w:w="2767"/>
          </w:tcPr>
          <w:p>
            <w:r>
              <w:t>Реконсилизация (удаление помеченных записей)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/persons/dul-classifier</w:t>
            </w:r>
          </w:p>
        </w:tc>
        <w:tc>
          <w:tcPr>
            <w:tcW w:type="dxa" w:w="2767"/>
          </w:tcPr>
          <w:p>
            <w:r>
              <w:t>Справочник видов ДУЛ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/persons/review</w:t>
            </w:r>
          </w:p>
        </w:tc>
        <w:tc>
          <w:tcPr>
            <w:tcW w:type="dxa" w:w="2767"/>
          </w:tcPr>
          <w:p>
            <w:r>
              <w:t>Очередь на ручную обработку</w:t>
            </w:r>
          </w:p>
        </w:tc>
      </w:tr>
    </w:tbl>
    <w:p/>
    <w:p>
      <w:pPr>
        <w:pStyle w:val="Heading2"/>
      </w:pPr>
      <w:r>
        <w:t>8.1. POST /persons/resolve — Пример запроса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"lastName": "Иванов",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"firstName": "Иван",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"middleName": "Иванович",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"evidence":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"inn": "7707083893",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"snils": "12345678964",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"dulType": "21",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"dulSeries": "4510",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"dulNumber": "123456"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"identifiers": [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"sourceSystemId": "CRM",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"externalPersonId": "ext-12345",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"externalPersonType": "client"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]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8.2. POST /persons/resolve — Пример ответа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"status": "Matched",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"personId": "a1b2c3d4-e5f6-7890-abcd-ef1234567890"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r>
        <w:t>Возможные статусы: Matched, Unmatched, Ambiguous.</w:t>
      </w:r>
    </w:p>
    <w:p>
      <w:pPr>
        <w:pStyle w:val="Heading1"/>
      </w:pPr>
      <w:r>
        <w:t>9. Требования к производительности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Целевое значение</w:t>
            </w:r>
          </w:p>
        </w:tc>
      </w:tr>
      <w:tr>
        <w:tc>
          <w:tcPr>
            <w:tcW w:type="dxa" w:w="4150"/>
          </w:tcPr>
          <w:p>
            <w:r>
              <w:t>Latency API (p95)</w:t>
            </w:r>
          </w:p>
        </w:tc>
        <w:tc>
          <w:tcPr>
            <w:tcW w:type="dxa" w:w="4150"/>
          </w:tcPr>
          <w:p>
            <w:r>
              <w:t>&lt; 200 ms</w:t>
            </w:r>
          </w:p>
        </w:tc>
      </w:tr>
      <w:tr>
        <w:tc>
          <w:tcPr>
            <w:tcW w:type="dxa" w:w="4150"/>
          </w:tcPr>
          <w:p>
            <w:r>
              <w:t>Latency API (p99)</w:t>
            </w:r>
          </w:p>
        </w:tc>
        <w:tc>
          <w:tcPr>
            <w:tcW w:type="dxa" w:w="4150"/>
          </w:tcPr>
          <w:p>
            <w:r>
              <w:t>&lt; 500 ms</w:t>
            </w:r>
          </w:p>
        </w:tc>
      </w:tr>
      <w:tr>
        <w:tc>
          <w:tcPr>
            <w:tcW w:type="dxa" w:w="4150"/>
          </w:tcPr>
          <w:p>
            <w:r>
              <w:t>Concurrent Users</w:t>
            </w:r>
          </w:p>
        </w:tc>
        <w:tc>
          <w:tcPr>
            <w:tcW w:type="dxa" w:w="4150"/>
          </w:tcPr>
          <w:p>
            <w:r>
              <w:t>1000</w:t>
            </w:r>
          </w:p>
        </w:tc>
      </w:tr>
      <w:tr>
        <w:tc>
          <w:tcPr>
            <w:tcW w:type="dxa" w:w="4150"/>
          </w:tcPr>
          <w:p>
            <w:r>
              <w:t>Data Availability</w:t>
            </w:r>
          </w:p>
        </w:tc>
        <w:tc>
          <w:tcPr>
            <w:tcW w:type="dxa" w:w="4150"/>
          </w:tcPr>
          <w:p>
            <w:r>
              <w:t>99.9%</w:t>
            </w:r>
          </w:p>
        </w:tc>
      </w:tr>
    </w:tbl>
    <w:p/>
    <w:p>
      <w:pPr>
        <w:pStyle w:val="Heading1"/>
      </w:pPr>
      <w:r>
        <w:t>10. Безопасность</w:t>
      </w:r>
    </w:p>
    <w:p>
      <w:pPr>
        <w:pStyle w:val="ListBullet"/>
      </w:pPr>
      <w:r>
        <w:t>HMAC-SHA256 хеширование: необратимое преобразование с секретным ключом</w:t>
      </w:r>
    </w:p>
    <w:p>
      <w:pPr>
        <w:pStyle w:val="ListBullet"/>
      </w:pPr>
      <w:r>
        <w:t>ПДн не хранятся в золотых записях (persons) — только хеши и таймстемпы</w:t>
      </w:r>
    </w:p>
    <w:p>
      <w:pPr>
        <w:pStyle w:val="ListBullet"/>
      </w:pPr>
      <w:r>
        <w:t>Секретный ключ HMAC хранится в .env (не в git)</w:t>
      </w:r>
    </w:p>
    <w:p>
      <w:pPr>
        <w:pStyle w:val="ListBullet"/>
      </w:pPr>
      <w:r>
        <w:t>Аудит IP-адресов: каждый запрос фиксирует source_ip в staging-таблицах</w:t>
      </w:r>
    </w:p>
    <w:p>
      <w:pPr>
        <w:pStyle w:val="ListBullet"/>
      </w:pPr>
      <w:r>
        <w:t>Логирование без ПДн: только PersonId, HMAC-хеши, внешние ID</w:t>
      </w:r>
    </w:p>
    <w:p>
      <w:pPr>
        <w:pStyle w:val="ListBullet"/>
      </w:pPr>
      <w:r>
        <w:t>Регулярная проверка CVE: БДУ ФСТЭК, GitHub Security Advisories</w:t>
      </w:r>
    </w:p>
    <w:p>
      <w:pPr>
        <w:pStyle w:val="ListBullet"/>
      </w:pPr>
      <w:r>
        <w:t>Сетевая изоляция: bridge-сеть mnemonios, доступ из корпоративного контура</w:t>
      </w:r>
    </w:p>
    <w:p>
      <w:pPr>
        <w:pStyle w:val="ListBullet"/>
      </w:pPr>
      <w:r>
        <w:t>Транзакционность: все операции записи выполняются в явных транзакциях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ЕДИН — Пояснительная записка  | 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 Light" w:hAnsi="Calibri Light"/>
      <w:i/>
      <w:iCs/>
      <w:color w:val="59595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pPr>
      <w:ind w:left="220" w:hanging="0"/>
      <w:spacing w:before="0" w:after="40" w:line="240" w:lineRule="auto"/>
    </w:pPr>
    <w:rPr>
      <w:rFonts w:ascii="Calibri" w:hAnsi="Calibri"/>
      <w:sz w:val="22"/>
    </w:rPr>
  </w:style>
  <w:style w:type="paragraph" w:styleId="TOC2">
    <w:name w:val="TOC 2"/>
    <w:basedOn w:val="Normal"/>
    <w:next w:val="Normal"/>
    <w:pPr>
      <w:ind w:left="440" w:hanging="0"/>
      <w:spacing w:before="0" w:after="40" w:line="240" w:lineRule="auto"/>
    </w:pPr>
    <w:rPr>
      <w:rFonts w:ascii="Calibri" w:hAnsi="Calibri"/>
      <w:sz w:val="22"/>
    </w:rPr>
  </w:style>
  <w:style w:type="paragraph" w:styleId="TOC3">
    <w:name w:val="TOC 3"/>
    <w:basedOn w:val="Normal"/>
    <w:next w:val="Normal"/>
    <w:pPr>
      <w:ind w:left="660" w:hanging="0"/>
      <w:spacing w:before="0" w:after="40" w:line="24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