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ЕДИН</w:t>
      </w:r>
    </w:p>
    <w:p>
      <w:pPr>
        <w:pStyle w:val="Subtitle"/>
        <w:jc w:val="center"/>
      </w:pPr>
      <w:r>
        <w:t>Руководство пользователя</w:t>
      </w:r>
    </w:p>
    <w:p/>
    <w:p/>
    <w:p/>
    <w:p/>
    <w:p/>
    <w:p/>
    <w:p/>
    <w:p/>
    <w:p/>
    <w:p/>
    <w:p>
      <w:pPr>
        <w:jc w:val="center"/>
      </w:pPr>
      <w:r>
        <w:t>2026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t>Содержание будет обновлено при открытии документа.</w:t>
        <w:fldChar w:fldCharType="end"/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Настоящее руководство предназначено для стюардов данных и операторов, работающих с АРМ Стюарда сервиса ЕДИН (Master Person Index).</w:t>
      </w:r>
    </w:p>
    <w:p>
      <w:r>
        <w:t>АРМ Стюарда — веб-интерфейс для мониторинга и анализа данных MPI: очередь конфликтов, дефекты данных, история разборов, справочники.</w:t>
      </w:r>
    </w:p>
    <w:p>
      <w:pPr>
        <w:pStyle w:val="Heading1"/>
      </w:pPr>
      <w:r>
        <w:t>2. Обзор АРМ Стюарда</w:t>
      </w:r>
    </w:p>
    <w:p>
      <w:r>
        <w:t>АРМ Стюарда доступен по адресу: http://&lt;host&gt;:5003</w:t>
      </w:r>
    </w:p>
    <w:p>
      <w:r>
        <w:t>[вставить скриншот: общая навигация АРМ Стюарда]</w:t>
      </w:r>
    </w:p>
    <w:p>
      <w:r>
        <w:t>Основные разделы навигации: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150"/>
          </w:tcPr>
          <w:p>
            <w:r>
              <w:t>Очередь</w:t>
            </w:r>
          </w:p>
        </w:tc>
        <w:tc>
          <w:tcPr>
            <w:tcW w:type="dxa" w:w="4150"/>
          </w:tcPr>
          <w:p>
            <w:r>
              <w:t>Конфликты (Ambiguous), требующие внимания стюарда</w:t>
            </w:r>
          </w:p>
        </w:tc>
      </w:tr>
      <w:tr>
        <w:tc>
          <w:tcPr>
            <w:tcW w:type="dxa" w:w="4150"/>
          </w:tcPr>
          <w:p>
            <w:r>
              <w:t>Дефекты</w:t>
            </w:r>
          </w:p>
        </w:tc>
        <w:tc>
          <w:tcPr>
            <w:tcW w:type="dxa" w:w="4150"/>
          </w:tcPr>
          <w:p>
            <w:r>
              <w:t>Мастер-записи с проблемами данных (ИНН, СНИЛС, ДУЛ)</w:t>
            </w:r>
          </w:p>
        </w:tc>
      </w:tr>
      <w:tr>
        <w:tc>
          <w:tcPr>
            <w:tcW w:type="dxa" w:w="4150"/>
          </w:tcPr>
          <w:p>
            <w:r>
              <w:t>История</w:t>
            </w:r>
          </w:p>
        </w:tc>
        <w:tc>
          <w:tcPr>
            <w:tcW w:type="dxa" w:w="4150"/>
          </w:tcPr>
          <w:p>
            <w:r>
              <w:t>Разрешённые конфликты (кто, когда, как)</w:t>
            </w:r>
          </w:p>
        </w:tc>
      </w:tr>
      <w:tr>
        <w:tc>
          <w:tcPr>
            <w:tcW w:type="dxa" w:w="4150"/>
          </w:tcPr>
          <w:p>
            <w:r>
              <w:t>Классификатор ДУЛ</w:t>
            </w:r>
          </w:p>
        </w:tc>
        <w:tc>
          <w:tcPr>
            <w:tcW w:type="dxa" w:w="4150"/>
          </w:tcPr>
          <w:p>
            <w:r>
              <w:t>Справочник кодов видов документов</w:t>
            </w:r>
          </w:p>
        </w:tc>
      </w:tr>
      <w:tr>
        <w:tc>
          <w:tcPr>
            <w:tcW w:type="dxa" w:w="4150"/>
          </w:tcPr>
          <w:p>
            <w:r>
              <w:t>Маски URL</w:t>
            </w:r>
          </w:p>
        </w:tc>
        <w:tc>
          <w:tcPr>
            <w:tcW w:type="dxa" w:w="4150"/>
          </w:tcPr>
          <w:p>
            <w:r>
              <w:t>Настройка URL-шаблонов для внешних ссылок</w:t>
            </w:r>
          </w:p>
        </w:tc>
      </w:tr>
    </w:tbl>
    <w:p/>
    <w:p>
      <w:pPr>
        <w:pStyle w:val="Heading1"/>
      </w:pPr>
      <w:r>
        <w:t>3. Очередь конфликтов</w:t>
      </w:r>
    </w:p>
    <w:p>
      <w:pPr>
        <w:pStyle w:val="Heading2"/>
      </w:pPr>
      <w:r>
        <w:t>3.1. Что такое конфликт</w:t>
      </w:r>
    </w:p>
    <w:p>
      <w:r>
        <w:t>Конфликт (статус Ambiguous) возникает, когда данные из внешней информационной системы совпадают с данными более чем одной записи в БД. Например, один и тот же паспорт зарегистрирован за двумя разными лицами — необходимо выяснить, одно это лицо или нет.</w:t>
      </w:r>
    </w:p>
    <w:p>
      <w:r>
        <w:t>В очередь на обработку попадают только конфликты, не разрешённые автоматически.</w:t>
      </w:r>
    </w:p>
    <w:p>
      <w:pPr>
        <w:pStyle w:val="Heading2"/>
      </w:pPr>
      <w:r>
        <w:t>3.2. Список ожидающих</w:t>
      </w:r>
    </w:p>
    <w:p>
      <w:r>
        <w:t>Раздел «Очередь» отображает все записи с pending-статусом:</w:t>
      </w:r>
    </w:p>
    <w:p>
      <w:r>
        <w:t>[вставить скриншот: список очереди конфликтов]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150"/>
          </w:tcPr>
          <w:p>
            <w:r>
              <w:t>Лицо A</w:t>
            </w:r>
          </w:p>
        </w:tc>
        <w:tc>
          <w:tcPr>
            <w:tcW w:type="dxa" w:w="4150"/>
          </w:tcPr>
          <w:p>
            <w:r>
              <w:t>Существующая мастер-запись (PersonID)</w:t>
            </w:r>
          </w:p>
        </w:tc>
      </w:tr>
      <w:tr>
        <w:tc>
          <w:tcPr>
            <w:tcW w:type="dxa" w:w="4150"/>
          </w:tcPr>
          <w:p>
            <w:r>
              <w:t>Лицо B</w:t>
            </w:r>
          </w:p>
        </w:tc>
        <w:tc>
          <w:tcPr>
            <w:tcW w:type="dxa" w:w="4150"/>
          </w:tcPr>
          <w:p>
            <w:r>
              <w:t>Новая мастер-запись, присланная системой</w:t>
            </w:r>
          </w:p>
        </w:tc>
      </w:tr>
      <w:tr>
        <w:tc>
          <w:tcPr>
            <w:tcW w:type="dxa" w:w="4150"/>
          </w:tcPr>
          <w:p>
            <w:r>
              <w:t>Ключ совпадения</w:t>
            </w:r>
          </w:p>
        </w:tc>
        <w:tc>
          <w:tcPr>
            <w:tcW w:type="dxa" w:w="4150"/>
          </w:tcPr>
          <w:p>
            <w:r>
              <w:t>Тип ключа, по которому лица совпали (inn, dul, snils и т.д.)</w:t>
            </w:r>
          </w:p>
        </w:tc>
      </w:tr>
      <w:tr>
        <w:tc>
          <w:tcPr>
            <w:tcW w:type="dxa" w:w="4150"/>
          </w:tcPr>
          <w:p>
            <w:r>
              <w:t>Ключ конфликта</w:t>
            </w:r>
          </w:p>
        </w:tc>
        <w:tc>
          <w:tcPr>
            <w:tcW w:type="dxa" w:w="4150"/>
          </w:tcPr>
          <w:p>
            <w:r>
              <w:t>Тип ключа, по которому лица расходятся</w:t>
            </w:r>
          </w:p>
        </w:tc>
      </w:tr>
      <w:tr>
        <w:tc>
          <w:tcPr>
            <w:tcW w:type="dxa" w:w="4150"/>
          </w:tcPr>
          <w:p>
            <w:r>
              <w:t>Дата</w:t>
            </w:r>
          </w:p>
        </w:tc>
        <w:tc>
          <w:tcPr>
            <w:tcW w:type="dxa" w:w="4150"/>
          </w:tcPr>
          <w:p>
            <w:r>
              <w:t>Когда конфликт был создан</w:t>
            </w:r>
          </w:p>
        </w:tc>
      </w:tr>
    </w:tbl>
    <w:p/>
    <w:p>
      <w:pPr>
        <w:pStyle w:val="Heading2"/>
      </w:pPr>
      <w:r>
        <w:t>3.3. Детали конфликта</w:t>
      </w:r>
    </w:p>
    <w:p>
      <w:r>
        <w:t>При переходе в детали конфликта отображается:</w:t>
      </w:r>
    </w:p>
    <w:p>
      <w:pPr>
        <w:pStyle w:val="ListBullet"/>
      </w:pPr>
      <w:r>
        <w:t>Таблица сравнения ключей (совпадают / конфликт / только у A / только у B)</w:t>
      </w:r>
    </w:p>
    <w:p>
      <w:pPr>
        <w:pStyle w:val="ListBullet"/>
      </w:pPr>
      <w:r>
        <w:t>Основные данные каждой персоны (PersonID, даты)</w:t>
      </w:r>
    </w:p>
    <w:p>
      <w:pPr>
        <w:pStyle w:val="ListBullet"/>
      </w:pPr>
      <w:r>
        <w:t>Связи с внешними системами</w:t>
      </w:r>
    </w:p>
    <w:p>
      <w:pPr>
        <w:pStyle w:val="ListBullet"/>
      </w:pPr>
      <w:r>
        <w:t>Идентификационные ключи</w:t>
      </w:r>
    </w:p>
    <w:p>
      <w:pPr>
        <w:pStyle w:val="ListBullet"/>
      </w:pPr>
      <w:r>
        <w:t>Дефекты данных</w:t>
      </w:r>
    </w:p>
    <w:p>
      <w:r>
        <w:t>[вставить скриншот: детали конфликта — таблица сравнения ключей]</w:t>
      </w:r>
    </w:p>
    <w:p>
      <w:pPr>
        <w:pStyle w:val="Heading2"/>
      </w:pPr>
      <w:r>
        <w:t>3.4. Действия стюарда</w:t>
      </w:r>
    </w:p>
    <w:p>
      <w:r>
        <w:t>Два доступных действия:</w:t>
      </w:r>
    </w:p>
    <w:p>
      <w:pPr>
        <w:pStyle w:val="ListBullet"/>
      </w:pPr>
      <w:r>
        <w:t>Подтвердить слияние (B → A): все ключи, внешние ID и документы лица B переносятся в лицо A. Лицо B удаляется.</w:t>
      </w:r>
    </w:p>
    <w:p>
      <w:pPr>
        <w:pStyle w:val="ListBullet"/>
      </w:pPr>
      <w:r>
        <w:t>Отклонить: конфликт остаётся в очереди без изменений.</w:t>
      </w:r>
    </w:p>
    <w:p>
      <w:pPr>
        <w:pStyle w:val="Heading2"/>
      </w:pPr>
      <w:r>
        <w:t>3.5. Автоматическое закрытие</w:t>
      </w:r>
    </w:p>
    <w:p>
      <w:r>
        <w:t>Если внешняя система сама исправляет данные (присылает новый resolve с корректными значениями), конфликт закрывается автоматически. Такие случаи отображаются в разделе «История» с типом resolution = auto_resolved.</w:t>
      </w:r>
    </w:p>
    <w:p>
      <w:pPr>
        <w:pStyle w:val="Heading1"/>
      </w:pPr>
      <w:r>
        <w:t>4. Дефекты данных</w:t>
      </w:r>
    </w:p>
    <w:p>
      <w:r>
        <w:t>Раздел «Дефекты» отображает все мастер-записи, имеющие проблемы с данными.</w:t>
      </w:r>
    </w:p>
    <w:p>
      <w:r>
        <w:t>[вставить скриншот: список дефектов]</w:t>
      </w:r>
    </w:p>
    <w:p>
      <w:pPr>
        <w:pStyle w:val="Heading2"/>
      </w:pPr>
      <w:r>
        <w:t>4.1. Типы дефектов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Причина</w:t>
            </w:r>
          </w:p>
        </w:tc>
      </w:tr>
      <w:tr>
        <w:tc>
          <w:tcPr>
            <w:tcW w:type="dxa" w:w="2767"/>
          </w:tcPr>
          <w:p>
            <w:r>
              <w:t>invalid_inn</w:t>
            </w:r>
          </w:p>
        </w:tc>
        <w:tc>
          <w:tcPr>
            <w:tcW w:type="dxa" w:w="2767"/>
          </w:tcPr>
          <w:p>
            <w:r>
              <w:t>Некорректный ИНН</w:t>
            </w:r>
          </w:p>
        </w:tc>
        <w:tc>
          <w:tcPr>
            <w:tcW w:type="dxa" w:w="2767"/>
          </w:tcPr>
          <w:p>
            <w:r>
              <w:t>Неверная контрольная сумма ИНН</w:t>
            </w:r>
          </w:p>
        </w:tc>
      </w:tr>
      <w:tr>
        <w:tc>
          <w:tcPr>
            <w:tcW w:type="dxa" w:w="2767"/>
          </w:tcPr>
          <w:p>
            <w:r>
              <w:t>invalid_snils</w:t>
            </w:r>
          </w:p>
        </w:tc>
        <w:tc>
          <w:tcPr>
            <w:tcW w:type="dxa" w:w="2767"/>
          </w:tcPr>
          <w:p>
            <w:r>
              <w:t>Некорректный СНИЛС</w:t>
            </w:r>
          </w:p>
        </w:tc>
        <w:tc>
          <w:tcPr>
            <w:tcW w:type="dxa" w:w="2767"/>
          </w:tcPr>
          <w:p>
            <w:r>
              <w:t>Неверная контрольная сумма СНИЛС</w:t>
            </w:r>
          </w:p>
        </w:tc>
      </w:tr>
      <w:tr>
        <w:tc>
          <w:tcPr>
            <w:tcW w:type="dxa" w:w="2767"/>
          </w:tcPr>
          <w:p>
            <w:r>
              <w:t>dul_incomplete</w:t>
            </w:r>
          </w:p>
        </w:tc>
        <w:tc>
          <w:tcPr>
            <w:tcW w:type="dxa" w:w="2767"/>
          </w:tcPr>
          <w:p>
            <w:r>
              <w:t>ДУЛ неполный</w:t>
            </w:r>
          </w:p>
        </w:tc>
        <w:tc>
          <w:tcPr>
            <w:tcW w:type="dxa" w:w="2767"/>
          </w:tcPr>
          <w:p>
            <w:r>
              <w:t>Указана только серия или только номер документа</w:t>
            </w:r>
          </w:p>
        </w:tc>
      </w:tr>
    </w:tbl>
    <w:p/>
    <w:p>
      <w:pPr>
        <w:pStyle w:val="Heading2"/>
      </w:pPr>
      <w:r>
        <w:t>4.2. Детали дефекта</w:t>
      </w:r>
    </w:p>
    <w:p>
      <w:r>
        <w:t>Для каждого дефекта отображаются:</w:t>
      </w:r>
    </w:p>
    <w:p>
      <w:pPr>
        <w:pStyle w:val="ListBullet"/>
      </w:pPr>
      <w:r>
        <w:t>Тип дефекта</w:t>
      </w:r>
    </w:p>
    <w:p>
      <w:pPr>
        <w:pStyle w:val="ListBullet"/>
      </w:pPr>
      <w:r>
        <w:t>Поле, вызвавшее дефект (inn, snils, dul_series, dul_number)</w:t>
      </w:r>
    </w:p>
    <w:p>
      <w:pPr>
        <w:pStyle w:val="ListBullet"/>
      </w:pPr>
      <w:r>
        <w:t>Сообщение об ошибке</w:t>
      </w:r>
    </w:p>
    <w:p>
      <w:r>
        <w:t>Дефекты логируются, но не блокируют создание записи. Это «толерантная обработка ошибок» — сервис фиксирует проблему, но не отказывается от добавления сведений о лице.</w:t>
      </w:r>
    </w:p>
    <w:p>
      <w:pPr>
        <w:pStyle w:val="Heading1"/>
      </w:pPr>
      <w:r>
        <w:t>5. История конфликтов</w:t>
      </w:r>
    </w:p>
    <w:p>
      <w:r>
        <w:t>Раздел «История» отображает все разрешённые конфликты.</w:t>
      </w:r>
    </w:p>
    <w:p>
      <w:r>
        <w:t>[вставить скриншот: история конфликтов]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150"/>
          </w:tcPr>
          <w:p>
            <w:r>
              <w:t>Лицо A</w:t>
            </w:r>
          </w:p>
        </w:tc>
        <w:tc>
          <w:tcPr>
            <w:tcW w:type="dxa" w:w="4150"/>
          </w:tcPr>
          <w:p>
            <w:r>
              <w:t>Идентификатор мастер-записи A</w:t>
            </w:r>
          </w:p>
        </w:tc>
      </w:tr>
      <w:tr>
        <w:tc>
          <w:tcPr>
            <w:tcW w:type="dxa" w:w="4150"/>
          </w:tcPr>
          <w:p>
            <w:r>
              <w:t>Лицо B</w:t>
            </w:r>
          </w:p>
        </w:tc>
        <w:tc>
          <w:tcPr>
            <w:tcW w:type="dxa" w:w="4150"/>
          </w:tcPr>
          <w:p>
            <w:r>
              <w:t>Идентификатор мастер-записи B</w:t>
            </w:r>
          </w:p>
        </w:tc>
      </w:tr>
      <w:tr>
        <w:tc>
          <w:tcPr>
            <w:tcW w:type="dxa" w:w="4150"/>
          </w:tcPr>
          <w:p>
            <w:r>
              <w:t>Ключ совпадения</w:t>
            </w:r>
          </w:p>
        </w:tc>
        <w:tc>
          <w:tcPr>
            <w:tcW w:type="dxa" w:w="4150"/>
          </w:tcPr>
          <w:p>
            <w:r>
              <w:t>Тип совпавшего ключа</w:t>
            </w:r>
          </w:p>
        </w:tc>
      </w:tr>
      <w:tr>
        <w:tc>
          <w:tcPr>
            <w:tcW w:type="dxa" w:w="4150"/>
          </w:tcPr>
          <w:p>
            <w:r>
              <w:t>Ключ конфликта</w:t>
            </w:r>
          </w:p>
        </w:tc>
        <w:tc>
          <w:tcPr>
            <w:tcW w:type="dxa" w:w="4150"/>
          </w:tcPr>
          <w:p>
            <w:r>
              <w:t>Тип конфликтующего ключа</w:t>
            </w:r>
          </w:p>
        </w:tc>
      </w:tr>
      <w:tr>
        <w:tc>
          <w:tcPr>
            <w:tcW w:type="dxa" w:w="4150"/>
          </w:tcPr>
          <w:p>
            <w:r>
              <w:t>Результат</w:t>
            </w:r>
          </w:p>
        </w:tc>
        <w:tc>
          <w:tcPr>
            <w:tcW w:type="dxa" w:w="4150"/>
          </w:tcPr>
          <w:p>
            <w:r>
              <w:t>Тип разрешения (auto_resolved)</w:t>
            </w:r>
          </w:p>
        </w:tc>
      </w:tr>
      <w:tr>
        <w:tc>
          <w:tcPr>
            <w:tcW w:type="dxa" w:w="4150"/>
          </w:tcPr>
          <w:p>
            <w:r>
              <w:t>Разрешено кем</w:t>
            </w:r>
          </w:p>
        </w:tc>
        <w:tc>
          <w:tcPr>
            <w:tcW w:type="dxa" w:w="4150"/>
          </w:tcPr>
          <w:p>
            <w:r>
              <w:t>source_system_id внешней системы</w:t>
            </w:r>
          </w:p>
        </w:tc>
      </w:tr>
      <w:tr>
        <w:tc>
          <w:tcPr>
            <w:tcW w:type="dxa" w:w="4150"/>
          </w:tcPr>
          <w:p>
            <w:r>
              <w:t>Дата разрешения</w:t>
            </w:r>
          </w:p>
        </w:tc>
        <w:tc>
          <w:tcPr>
            <w:tcW w:type="dxa" w:w="4150"/>
          </w:tcPr>
          <w:p>
            <w:r>
              <w:t>Дата и время разрешения</w:t>
            </w:r>
          </w:p>
        </w:tc>
      </w:tr>
    </w:tbl>
    <w:p/>
    <w:p>
      <w:r>
        <w:t>При автоматическом разрешении (auto_resolved) в поле «Разрешено кем» указывается идентификатор внешней системы, которая исправила данные.</w:t>
      </w:r>
    </w:p>
    <w:p>
      <w:pPr>
        <w:pStyle w:val="Heading1"/>
      </w:pPr>
      <w:r>
        <w:t>6. Карточка физического лица</w:t>
      </w:r>
    </w:p>
    <w:p>
      <w:r>
        <w:t>Доступна по клику на PersonID из любого раздела.</w:t>
      </w:r>
    </w:p>
    <w:p>
      <w:r>
        <w:t>[вставить скриншот: карточка физического лица]</w:t>
      </w:r>
    </w:p>
    <w:p>
      <w:pPr>
        <w:pStyle w:val="Heading2"/>
      </w:pPr>
      <w:r>
        <w:t>6.1. Основные данные</w:t>
      </w:r>
    </w:p>
    <w:p>
      <w:pPr>
        <w:pStyle w:val="ListBullet"/>
      </w:pPr>
      <w:r>
        <w:t>PersonID (UUID)</w:t>
      </w:r>
    </w:p>
    <w:p>
      <w:pPr>
        <w:pStyle w:val="ListBullet"/>
      </w:pPr>
      <w:r>
        <w:t>Дата создания и последнего обновления</w:t>
      </w:r>
    </w:p>
    <w:p>
      <w:pPr>
        <w:pStyle w:val="Heading2"/>
      </w:pPr>
      <w:r>
        <w:t>6.2. Связи с внешними системами</w:t>
      </w:r>
    </w:p>
    <w:p>
      <w:r>
        <w:t>Таблица всех external_id, привязанных к данному лицу. Если настроены Маски URL, отображаются кликабельные ссылки на внешние системы.</w:t>
      </w:r>
    </w:p>
    <w:p>
      <w:pPr>
        <w:pStyle w:val="Heading2"/>
      </w:pPr>
      <w:r>
        <w:t>6.3. Идентификационные ключи</w:t>
      </w:r>
    </w:p>
    <w:p>
      <w:r>
        <w:t>Список HMAC-ключей (типы: inn, snils, dul, inn_fio, snils_fio, dul_fio). Ключи отображаются в усечённом виде (первые 16 символов). Полные ключи не отображаются в целях безопасности.</w:t>
      </w:r>
    </w:p>
    <w:p>
      <w:pPr>
        <w:pStyle w:val="Heading2"/>
      </w:pPr>
      <w:r>
        <w:t>6.4. Документы (ДУЛ)</w:t>
      </w:r>
    </w:p>
    <w:p>
      <w:r>
        <w:t>Список документов, удостоверяющих личность, привязанных к лицу. Тип документа отображается по классификатору ДУЛ.</w:t>
      </w:r>
    </w:p>
    <w:p>
      <w:pPr>
        <w:pStyle w:val="Heading1"/>
      </w:pPr>
      <w:r>
        <w:t>7. Staging-записи (ext_persons)</w:t>
      </w:r>
    </w:p>
    <w:p>
      <w:r>
        <w:t>Доступны из карточки физического лица. Отображают сырые данные всех запросов resolve, привязанных к данному лицу.</w:t>
      </w:r>
    </w:p>
    <w:p>
      <w:r>
        <w:t>[вставить скриншот: staging-записи]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150"/>
          </w:tcPr>
          <w:p>
            <w:r>
              <w:t>Source System</w:t>
            </w:r>
          </w:p>
        </w:tc>
        <w:tc>
          <w:tcPr>
            <w:tcW w:type="dxa" w:w="4150"/>
          </w:tcPr>
          <w:p>
            <w:r>
              <w:t>Идентификатор внешней системы</w:t>
            </w:r>
          </w:p>
        </w:tc>
      </w:tr>
      <w:tr>
        <w:tc>
          <w:tcPr>
            <w:tcW w:type="dxa" w:w="4150"/>
          </w:tcPr>
          <w:p>
            <w:r>
              <w:t>External Person ID</w:t>
            </w:r>
          </w:p>
        </w:tc>
        <w:tc>
          <w:tcPr>
            <w:tcW w:type="dxa" w:w="4150"/>
          </w:tcPr>
          <w:p>
            <w:r>
              <w:t>Внешний идентификатор</w:t>
            </w:r>
          </w:p>
        </w:tc>
      </w:tr>
      <w:tr>
        <w:tc>
          <w:tcPr>
            <w:tcW w:type="dxa" w:w="4150"/>
          </w:tcPr>
          <w:p>
            <w:r>
              <w:t>IP-адрес</w:t>
            </w:r>
          </w:p>
        </w:tc>
        <w:tc>
          <w:tcPr>
            <w:tcW w:type="dxa" w:w="4150"/>
          </w:tcPr>
          <w:p>
            <w:r>
              <w:t>IP-адрес источника запроса</w:t>
            </w:r>
          </w:p>
        </w:tc>
      </w:tr>
      <w:tr>
        <w:tc>
          <w:tcPr>
            <w:tcW w:type="dxa" w:w="4150"/>
          </w:tcPr>
          <w:p>
            <w:r>
              <w:t>Ключи HMAC</w:t>
            </w:r>
          </w:p>
        </w:tc>
        <w:tc>
          <w:tcPr>
            <w:tcW w:type="dxa" w:w="4150"/>
          </w:tcPr>
          <w:p>
            <w:r>
              <w:t>HMAC-хеши всех вычисленных ключей</w:t>
            </w:r>
          </w:p>
        </w:tc>
      </w:tr>
      <w:tr>
        <w:tc>
          <w:tcPr>
            <w:tcW w:type="dxa" w:w="4150"/>
          </w:tcPr>
          <w:p>
            <w:r>
              <w:t>Дефекты</w:t>
            </w:r>
          </w:p>
        </w:tc>
        <w:tc>
          <w:tcPr>
            <w:tcW w:type="dxa" w:w="4150"/>
          </w:tcPr>
          <w:p>
            <w:r>
              <w:t>Дефекты, обнаруженные в данном запросе</w:t>
            </w:r>
          </w:p>
        </w:tc>
      </w:tr>
    </w:tbl>
    <w:p/>
    <w:p>
      <w:pPr>
        <w:pStyle w:val="Heading1"/>
      </w:pPr>
      <w:r>
        <w:t>8. Справочник ДУЛ</w:t>
      </w:r>
    </w:p>
    <w:p>
      <w:r>
        <w:t>Справочник кодов видов документов, удостоверяющих личность (Приказ ФНС России от 31.08.2020 № ЕД-7-14/617@).</w:t>
      </w:r>
    </w:p>
    <w:p>
      <w:r>
        <w:t>[вставить скриншот: справочник ДУЛ]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150"/>
          </w:tcPr>
          <w:p>
            <w:r>
              <w:rPr>
                <w:b/>
              </w:rPr>
              <w:t>Наименование документа</w:t>
            </w:r>
          </w:p>
        </w:tc>
      </w:tr>
      <w:tr>
        <w:tc>
          <w:tcPr>
            <w:tcW w:type="dxa" w:w="4150"/>
          </w:tcPr>
          <w:p>
            <w:r>
              <w:t>03</w:t>
            </w:r>
          </w:p>
        </w:tc>
        <w:tc>
          <w:tcPr>
            <w:tcW w:type="dxa" w:w="4150"/>
          </w:tcPr>
          <w:p>
            <w:r>
              <w:t>Свидетельство о рождении</w:t>
            </w:r>
          </w:p>
        </w:tc>
      </w:tr>
      <w:tr>
        <w:tc>
          <w:tcPr>
            <w:tcW w:type="dxa" w:w="4150"/>
          </w:tcPr>
          <w:p>
            <w:r>
              <w:t>07</w:t>
            </w:r>
          </w:p>
        </w:tc>
        <w:tc>
          <w:tcPr>
            <w:tcW w:type="dxa" w:w="4150"/>
          </w:tcPr>
          <w:p>
            <w:r>
              <w:t>Военный билет</w:t>
            </w:r>
          </w:p>
        </w:tc>
      </w:tr>
      <w:tr>
        <w:tc>
          <w:tcPr>
            <w:tcW w:type="dxa" w:w="4150"/>
          </w:tcPr>
          <w:p>
            <w:r>
              <w:t>08</w:t>
            </w:r>
          </w:p>
        </w:tc>
        <w:tc>
          <w:tcPr>
            <w:tcW w:type="dxa" w:w="4150"/>
          </w:tcPr>
          <w:p>
            <w:r>
              <w:t>Временное удостоверение, выданное взамен военного билета</w:t>
            </w:r>
          </w:p>
        </w:tc>
      </w:tr>
      <w:tr>
        <w:tc>
          <w:tcPr>
            <w:tcW w:type="dxa" w:w="4150"/>
          </w:tcPr>
          <w:p>
            <w:r>
              <w:t>10</w:t>
            </w:r>
          </w:p>
        </w:tc>
        <w:tc>
          <w:tcPr>
            <w:tcW w:type="dxa" w:w="4150"/>
          </w:tcPr>
          <w:p>
            <w:r>
              <w:t>Паспорт иностранного гражданина</w:t>
            </w:r>
          </w:p>
        </w:tc>
      </w:tr>
      <w:tr>
        <w:tc>
          <w:tcPr>
            <w:tcW w:type="dxa" w:w="4150"/>
          </w:tcPr>
          <w:p>
            <w:r>
              <w:t>11</w:t>
            </w:r>
          </w:p>
        </w:tc>
        <w:tc>
          <w:tcPr>
            <w:tcW w:type="dxa" w:w="4150"/>
          </w:tcPr>
          <w:p>
            <w:r>
              <w:t>Свидетельство о рассмотрении ходатайства о признании беженцем</w:t>
            </w:r>
          </w:p>
        </w:tc>
      </w:tr>
      <w:tr>
        <w:tc>
          <w:tcPr>
            <w:tcW w:type="dxa" w:w="4150"/>
          </w:tcPr>
          <w:p>
            <w:r>
              <w:t>12</w:t>
            </w:r>
          </w:p>
        </w:tc>
        <w:tc>
          <w:tcPr>
            <w:tcW w:type="dxa" w:w="4150"/>
          </w:tcPr>
          <w:p>
            <w:r>
              <w:t>Вид на жительство в РФ</w:t>
            </w:r>
          </w:p>
        </w:tc>
      </w:tr>
      <w:tr>
        <w:tc>
          <w:tcPr>
            <w:tcW w:type="dxa" w:w="4150"/>
          </w:tcPr>
          <w:p>
            <w:r>
              <w:t>13</w:t>
            </w:r>
          </w:p>
        </w:tc>
        <w:tc>
          <w:tcPr>
            <w:tcW w:type="dxa" w:w="4150"/>
          </w:tcPr>
          <w:p>
            <w:r>
              <w:t>Удостоверение беженца</w:t>
            </w:r>
          </w:p>
        </w:tc>
      </w:tr>
      <w:tr>
        <w:tc>
          <w:tcPr>
            <w:tcW w:type="dxa" w:w="4150"/>
          </w:tcPr>
          <w:p>
            <w:r>
              <w:t>15</w:t>
            </w:r>
          </w:p>
        </w:tc>
        <w:tc>
          <w:tcPr>
            <w:tcW w:type="dxa" w:w="4150"/>
          </w:tcPr>
          <w:p>
            <w:r>
              <w:t>Разрешение на временное проживание в РФ</w:t>
            </w:r>
          </w:p>
        </w:tc>
      </w:tr>
      <w:tr>
        <w:tc>
          <w:tcPr>
            <w:tcW w:type="dxa" w:w="4150"/>
          </w:tcPr>
          <w:p>
            <w:r>
              <w:t>18</w:t>
            </w:r>
          </w:p>
        </w:tc>
        <w:tc>
          <w:tcPr>
            <w:tcW w:type="dxa" w:w="4150"/>
          </w:tcPr>
          <w:p>
            <w:r>
              <w:t>Свидетельство о предоставлении временного убежища</w:t>
            </w:r>
          </w:p>
        </w:tc>
      </w:tr>
      <w:tr>
        <w:tc>
          <w:tcPr>
            <w:tcW w:type="dxa" w:w="4150"/>
          </w:tcPr>
          <w:p>
            <w:r>
              <w:t>21</w:t>
            </w:r>
          </w:p>
        </w:tc>
        <w:tc>
          <w:tcPr>
            <w:tcW w:type="dxa" w:w="4150"/>
          </w:tcPr>
          <w:p>
            <w:r>
              <w:t>Паспорт гражданина РФ</w:t>
            </w:r>
          </w:p>
        </w:tc>
      </w:tr>
      <w:tr>
        <w:tc>
          <w:tcPr>
            <w:tcW w:type="dxa" w:w="4150"/>
          </w:tcPr>
          <w:p>
            <w:r>
              <w:t>23</w:t>
            </w:r>
          </w:p>
        </w:tc>
        <w:tc>
          <w:tcPr>
            <w:tcW w:type="dxa" w:w="4150"/>
          </w:tcPr>
          <w:p>
            <w:r>
              <w:t>Свидетельство о рождении (иностранное)</w:t>
            </w:r>
          </w:p>
        </w:tc>
      </w:tr>
      <w:tr>
        <w:tc>
          <w:tcPr>
            <w:tcW w:type="dxa" w:w="4150"/>
          </w:tcPr>
          <w:p>
            <w:r>
              <w:t>24</w:t>
            </w:r>
          </w:p>
        </w:tc>
        <w:tc>
          <w:tcPr>
            <w:tcW w:type="dxa" w:w="4150"/>
          </w:tcPr>
          <w:p>
            <w:r>
              <w:t>Удостоверение личности военнослужащего РФ</w:t>
            </w:r>
          </w:p>
        </w:tc>
      </w:tr>
      <w:tr>
        <w:tc>
          <w:tcPr>
            <w:tcW w:type="dxa" w:w="4150"/>
          </w:tcPr>
          <w:p>
            <w:r>
              <w:t>91</w:t>
            </w:r>
          </w:p>
        </w:tc>
        <w:tc>
          <w:tcPr>
            <w:tcW w:type="dxa" w:w="4150"/>
          </w:tcPr>
          <w:p>
            <w:r>
              <w:t>Иные документы</w:t>
            </w:r>
          </w:p>
        </w:tc>
      </w:tr>
    </w:tbl>
    <w:p/>
    <w:p>
      <w:pPr>
        <w:pStyle w:val="Heading1"/>
      </w:pPr>
      <w:r>
        <w:t>9. Маски URL</w:t>
      </w:r>
    </w:p>
    <w:p>
      <w:r>
        <w:t>Маски URL позволяют настроить шаблоны ссылок на внешние информационные системы. При наличии маски ссылки отображаются в карточке физического лица.</w:t>
      </w:r>
    </w:p>
    <w:p>
      <w:r>
        <w:t>[вставить скриншот: список масок URL]</w:t>
      </w:r>
    </w:p>
    <w:p>
      <w:pPr>
        <w:pStyle w:val="Heading2"/>
      </w:pPr>
      <w:r>
        <w:t>9.1. Формат шаблона</w:t>
      </w:r>
    </w:p>
    <w:p>
      <w:r>
        <w:t>Шаблон содержит плейсхолдеры:</w:t>
      </w:r>
    </w:p>
    <w:p>
      <w:pPr>
        <w:pStyle w:val="ListBullet"/>
      </w:pPr>
      <w:r>
        <w:t>{external_person_id} — внешний идентификатор лица</w:t>
      </w:r>
    </w:p>
    <w:p>
      <w:pPr>
        <w:pStyle w:val="ListBullet"/>
      </w:pPr>
      <w:r>
        <w:t>{source_system_id} — идентификатор системы</w:t>
      </w:r>
    </w:p>
    <w:p>
      <w:pPr>
        <w:pStyle w:val="ListBullet"/>
      </w:pPr>
      <w:r>
        <w:t>{organization_unit_key} — ключ организационной единицы</w:t>
      </w:r>
    </w:p>
    <w:p>
      <w:r>
        <w:t>Пример: https://crm.example.com/persons/{external_person_id}</w:t>
      </w:r>
    </w:p>
    <w:p>
      <w:pPr>
        <w:pStyle w:val="Heading2"/>
      </w:pPr>
      <w:r>
        <w:t>9.2. Создание и редактирование</w:t>
      </w:r>
    </w:p>
    <w:p>
      <w:r>
        <w:t>[вставить скриншот: редактирование маски URL]</w:t>
      </w:r>
    </w:p>
    <w:p>
      <w:pPr>
        <w:pStyle w:val="ListBullet"/>
      </w:pPr>
      <w:r>
        <w:t>Укажите систему (sourceSystemId) и тип объекта (externalPersonType)</w:t>
      </w:r>
    </w:p>
    <w:p>
      <w:pPr>
        <w:pStyle w:val="ListBullet"/>
      </w:pPr>
      <w:r>
        <w:t>Введите URL-шаблон с плейсхолдерами</w:t>
      </w:r>
    </w:p>
    <w:p>
      <w:pPr>
        <w:pStyle w:val="ListBullet"/>
      </w:pPr>
      <w:r>
        <w:t>Сохраните</w:t>
      </w:r>
    </w:p>
    <w:p>
      <w:pPr>
        <w:pStyle w:val="Heading1"/>
      </w:pPr>
      <w:r>
        <w:t>10. Рекомендации по работе</w:t>
      </w:r>
    </w:p>
    <w:p>
      <w:pPr>
        <w:pStyle w:val="Heading2"/>
      </w:pPr>
      <w:r>
        <w:t>10.1. Порядок обработки очереди</w:t>
      </w:r>
    </w:p>
    <w:p>
      <w:pPr>
        <w:pStyle w:val="ListNumber"/>
      </w:pPr>
      <w:r>
        <w:t>Откройте раздел «Очередь».</w:t>
      </w:r>
    </w:p>
    <w:p>
      <w:pPr>
        <w:pStyle w:val="ListNumber"/>
      </w:pPr>
      <w:r>
        <w:t>Изучите таблицу сравнения ключей.</w:t>
      </w:r>
    </w:p>
    <w:p>
      <w:pPr>
        <w:pStyle w:val="ListNumber"/>
      </w:pPr>
      <w:r>
        <w:t>Если ключи совпадают по ИНН или СНИЛС — скорее всего, одно лицо. Подтвердите слияние.</w:t>
      </w:r>
    </w:p>
    <w:p>
      <w:pPr>
        <w:pStyle w:val="ListNumber"/>
      </w:pPr>
      <w:r>
        <w:t>Если есть сомнения — отклоните и обратитесь к дополнительным источникам данных.</w:t>
      </w:r>
    </w:p>
    <w:p>
      <w:pPr>
        <w:pStyle w:val="ListNumber"/>
      </w:pPr>
      <w:r>
        <w:t>Проверьте историю разрешённых конфликтов для контекста.</w:t>
      </w:r>
    </w:p>
    <w:p>
      <w:pPr>
        <w:pStyle w:val="Heading2"/>
      </w:pPr>
      <w:r>
        <w:t>10.2. Когда конфликт закрывается автоматически</w:t>
      </w:r>
    </w:p>
    <w:p>
      <w:r>
        <w:t>Конфликт закрывается автоматически, когда одна из внешних систем исправляет данные в последующем запросе resolve. Например: система CRM прислала ИНН с ошибкой → Ambiguous. Затем CRM исправила ИНН → конфликт закрыт, история сохранена.</w:t>
      </w:r>
    </w:p>
    <w:p>
      <w:r>
        <w:t>Такие записи отображаются в «Истории» с resolution = auto_resolved.</w:t>
      </w:r>
    </w:p>
    <w:p>
      <w:pPr>
        <w:pStyle w:val="Heading2"/>
      </w:pPr>
      <w:r>
        <w:t>10.3. Отличия auto-resolved от ручного разбора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767"/>
          </w:tcPr>
          <w:p>
            <w:r>
              <w:rPr>
                <w:b/>
              </w:rPr>
              <w:t>Auto-resolved</w:t>
            </w:r>
          </w:p>
        </w:tc>
        <w:tc>
          <w:tcPr>
            <w:tcW w:type="dxa" w:w="2767"/>
          </w:tcPr>
          <w:p>
            <w:r>
              <w:rPr>
                <w:b/>
              </w:rPr>
              <w:t>Ручной разбор</w:t>
            </w:r>
          </w:p>
        </w:tc>
      </w:tr>
      <w:tr>
        <w:tc>
          <w:tcPr>
            <w:tcW w:type="dxa" w:w="2767"/>
          </w:tcPr>
          <w:p>
            <w:r>
              <w:t>Инициатор</w:t>
            </w:r>
          </w:p>
        </w:tc>
        <w:tc>
          <w:tcPr>
            <w:tcW w:type="dxa" w:w="2767"/>
          </w:tcPr>
          <w:p>
            <w:r>
              <w:t>Внешняя система (исправление данных)</w:t>
            </w:r>
          </w:p>
        </w:tc>
        <w:tc>
          <w:tcPr>
            <w:tcW w:type="dxa" w:w="2767"/>
          </w:tcPr>
          <w:p>
            <w:r>
              <w:t>Стюард</w:t>
            </w:r>
          </w:p>
        </w:tc>
      </w:tr>
      <w:tr>
        <w:tc>
          <w:tcPr>
            <w:tcW w:type="dxa" w:w="2767"/>
          </w:tcPr>
          <w:p>
            <w:r>
              <w:t>Результат</w:t>
            </w:r>
          </w:p>
        </w:tc>
        <w:tc>
          <w:tcPr>
            <w:tcW w:type="dxa" w:w="2767"/>
          </w:tcPr>
          <w:p>
            <w:r>
              <w:t>Конфликт закрыт автоматически</w:t>
            </w:r>
          </w:p>
        </w:tc>
        <w:tc>
          <w:tcPr>
            <w:tcW w:type="dxa" w:w="2767"/>
          </w:tcPr>
          <w:p>
            <w:r>
              <w:t>Слияние или отклонение</w:t>
            </w:r>
          </w:p>
        </w:tc>
      </w:tr>
      <w:tr>
        <w:tc>
          <w:tcPr>
            <w:tcW w:type="dxa" w:w="2767"/>
          </w:tcPr>
          <w:p>
            <w:r>
              <w:t>История</w:t>
            </w:r>
          </w:p>
        </w:tc>
        <w:tc>
          <w:tcPr>
            <w:tcW w:type="dxa" w:w="2767"/>
          </w:tcPr>
          <w:p>
            <w:r>
              <w:t>resolved_by = source_system_id</w:t>
            </w:r>
          </w:p>
        </w:tc>
        <w:tc>
          <w:tcPr>
            <w:tcW w:type="dxa" w:w="2767"/>
          </w:tcPr>
          <w:p>
            <w:r>
              <w:t>resolved_by = steward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ЕДИН — Руководство пользователя  | 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 Light" w:hAnsi="Calibri Light"/>
      <w:i/>
      <w:iCs/>
      <w:color w:val="595959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PingFang SC"/>
        <a:font script="Hang" typeface="PingFang SC"/>
        <a:font script="Hans" typeface="PingFang SC"/>
        <a:font script="Hant" typeface="PingFang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