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40" w:before="240" w:lineRule="auto"/>
        <w:rPr/>
      </w:pPr>
      <w:bookmarkStart w:colFirst="0" w:colLast="0" w:name="_qgr5ar6qrk6b" w:id="0"/>
      <w:bookmarkEnd w:id="0"/>
      <w:r w:rsidDel="00000000" w:rsidR="00000000" w:rsidRPr="00000000">
        <w:rPr>
          <w:rtl w:val="0"/>
        </w:rPr>
        <w:t xml:space="preserve">The Admin can view the overall performance of all teams in one place.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3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5778500"/>
            <wp:effectExtent b="0" l="0" r="0" t="0"/>
            <wp:docPr id="8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240" w:before="240" w:lineRule="auto"/>
        <w:rPr/>
      </w:pPr>
      <w:bookmarkStart w:colFirst="0" w:colLast="0" w:name="_xy30dykd3wdy" w:id="1"/>
      <w:bookmarkEnd w:id="1"/>
      <w:r w:rsidDel="00000000" w:rsidR="00000000" w:rsidRPr="00000000">
        <w:rPr>
          <w:rtl w:val="0"/>
        </w:rPr>
        <w:t xml:space="preserve">Once the user accepts the invitation, you can assign a team and select the assets and vulnerabilities that will be visible to them.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749800" cy="5778500"/>
            <wp:effectExtent b="0" l="0" r="0" t="0"/>
            <wp:docPr id="2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699000" cy="3670300"/>
            <wp:effectExtent b="0" l="0" r="0" t="0"/>
            <wp:docPr id="7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smbf10afcco4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yre9u115i6fe" w:id="3"/>
      <w:bookmarkEnd w:id="3"/>
      <w:r w:rsidDel="00000000" w:rsidR="00000000" w:rsidRPr="00000000">
        <w:rPr>
          <w:rtl w:val="0"/>
        </w:rPr>
        <w:t xml:space="preserve">Delete User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711700" cy="278130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line="276" w:lineRule="auto"/>
        <w:rPr/>
      </w:pPr>
      <w:bookmarkStart w:colFirst="0" w:colLast="0" w:name="_bu9zveetftxu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240" w:before="240" w:line="276" w:lineRule="auto"/>
        <w:rPr/>
      </w:pPr>
      <w:bookmarkStart w:colFirst="0" w:colLast="0" w:name="_qjlybm4nmhta" w:id="5"/>
      <w:bookmarkEnd w:id="5"/>
      <w:r w:rsidDel="00000000" w:rsidR="00000000" w:rsidRPr="00000000">
        <w:rPr>
          <w:rtl w:val="0"/>
        </w:rPr>
        <w:t xml:space="preserve">A user can be removed from the workspace as needed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2171700"/>
            <wp:effectExtent b="0" l="0" r="0" t="0"/>
            <wp:docPr id="9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3111500"/>
            <wp:effectExtent b="0" l="0" r="0" t="0"/>
            <wp:docPr id="5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6nyz632011zz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240" w:before="240" w:lineRule="auto"/>
        <w:rPr/>
      </w:pPr>
      <w:bookmarkStart w:colFirst="0" w:colLast="0" w:name="_a2hh2ba6hfiz" w:id="7"/>
      <w:bookmarkEnd w:id="7"/>
      <w:r w:rsidDel="00000000" w:rsidR="00000000" w:rsidRPr="00000000">
        <w:rPr>
          <w:rtl w:val="0"/>
        </w:rPr>
        <w:t xml:space="preserve">A user’s role can be changed as needed.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6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20ww20ezejyx" w:id="8"/>
      <w:bookmarkEnd w:id="8"/>
      <w:r w:rsidDel="00000000" w:rsidR="00000000" w:rsidRPr="00000000">
        <w:rPr>
          <w:rtl w:val="0"/>
        </w:rPr>
        <w:t xml:space="preserve">External users can be added and they are given limited access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gif"/><Relationship Id="rId10" Type="http://schemas.openxmlformats.org/officeDocument/2006/relationships/image" Target="media/image6.gif"/><Relationship Id="rId13" Type="http://schemas.openxmlformats.org/officeDocument/2006/relationships/image" Target="media/image3.gif"/><Relationship Id="rId12" Type="http://schemas.openxmlformats.org/officeDocument/2006/relationships/image" Target="media/image7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gif"/><Relationship Id="rId14" Type="http://schemas.openxmlformats.org/officeDocument/2006/relationships/image" Target="media/image5.gif"/><Relationship Id="rId5" Type="http://schemas.openxmlformats.org/officeDocument/2006/relationships/styles" Target="styles.xml"/><Relationship Id="rId6" Type="http://schemas.openxmlformats.org/officeDocument/2006/relationships/image" Target="media/image8.gif"/><Relationship Id="rId7" Type="http://schemas.openxmlformats.org/officeDocument/2006/relationships/image" Target="media/image4.png"/><Relationship Id="rId8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