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D6" w:rsidRDefault="00613EE9" w:rsidP="000065D6">
      <w:pPr>
        <w:spacing w:before="60" w:after="60"/>
        <w:rPr>
          <w:b/>
          <w:sz w:val="40"/>
          <w:szCs w:val="40"/>
        </w:rPr>
      </w:pPr>
      <w:r w:rsidRPr="00613EE9">
        <w:rPr>
          <w:b/>
          <w:sz w:val="40"/>
          <w:szCs w:val="40"/>
        </w:rPr>
        <w:t>MA4128 : EXAMPLE</w:t>
      </w:r>
    </w:p>
    <w:p w:rsidR="00613EE9" w:rsidRPr="00613EE9" w:rsidRDefault="00613EE9" w:rsidP="000065D6">
      <w:pPr>
        <w:spacing w:before="60" w:after="60"/>
      </w:pPr>
    </w:p>
    <w:p w:rsidR="00613EE9" w:rsidRDefault="009B29A8" w:rsidP="000065D6">
      <w:pPr>
        <w:spacing w:before="60" w:after="60"/>
      </w:pPr>
      <w:r>
        <w:t xml:space="preserve">Suppose </w:t>
      </w:r>
      <w:r w:rsidR="00613EE9">
        <w:t>a market research company is</w:t>
      </w:r>
      <w:r>
        <w:t xml:space="preserve"> interested in what influences a consumer’s choice behavior when e is shopping for beer.  </w:t>
      </w:r>
      <w:r w:rsidR="00613EE9">
        <w:t>The researcher</w:t>
      </w:r>
      <w:r>
        <w:t xml:space="preserve"> ask</w:t>
      </w:r>
      <w:r w:rsidR="00613EE9">
        <w:t>ed</w:t>
      </w:r>
      <w:r>
        <w:t xml:space="preserve"> each of 20</w:t>
      </w:r>
      <w:r w:rsidR="000065D6">
        <w:t>0</w:t>
      </w:r>
      <w:r>
        <w:t xml:space="preserve"> </w:t>
      </w:r>
      <w:r w:rsidR="000065D6">
        <w:t>consumers</w:t>
      </w:r>
      <w:r>
        <w:t xml:space="preserve"> to rate on a scale of 0-100 how important e considers each of </w:t>
      </w:r>
      <w:r w:rsidR="000065D6">
        <w:t>seven</w:t>
      </w:r>
      <w:r>
        <w:t xml:space="preserve"> qualities when deciding whether or not to buy the six pack:  low COST of the six pack, high SIZE of the bottle (volume), high percentage of ALCOHOL in the beer, the REPUTATion of the brand, the COLOR of the beer, nice AROMA of the beer, and good TASTE of the beer.  </w:t>
      </w:r>
    </w:p>
    <w:p w:rsidR="00613EE9" w:rsidRDefault="00613EE9" w:rsidP="000065D6">
      <w:pPr>
        <w:spacing w:before="60" w:after="60"/>
      </w:pPr>
    </w:p>
    <w:p w:rsidR="00613EE9" w:rsidRDefault="000065D6" w:rsidP="000065D6">
      <w:pPr>
        <w:spacing w:before="60" w:after="60"/>
      </w:pPr>
      <w:r>
        <w:t xml:space="preserve">The data are in the file </w:t>
      </w:r>
      <w:hyperlink r:id="rId7" w:history="1">
        <w:r w:rsidRPr="00FD22B9">
          <w:rPr>
            <w:rStyle w:val="Hyperlink"/>
          </w:rPr>
          <w:t>FACTBEER.SAV</w:t>
        </w:r>
      </w:hyperlink>
      <w:r>
        <w:t xml:space="preserve">.  </w:t>
      </w:r>
      <w:r w:rsidR="00613EE9">
        <w:t>Import</w:t>
      </w:r>
      <w:r>
        <w:t xml:space="preserve"> that file into </w:t>
      </w:r>
      <w:r w:rsidR="00430775">
        <w:t>SPSS</w:t>
      </w:r>
      <w:r>
        <w:t xml:space="preserve">.  On the command </w:t>
      </w:r>
      <w:r w:rsidR="00CA04E0">
        <w:t xml:space="preserve">bar, </w:t>
      </w:r>
      <w:r>
        <w:t xml:space="preserve">click Analyze, Data Reduction, Factor.  </w:t>
      </w:r>
    </w:p>
    <w:p w:rsidR="00613EE9" w:rsidRDefault="00613EE9" w:rsidP="000065D6">
      <w:pPr>
        <w:spacing w:before="60" w:after="60"/>
      </w:pPr>
    </w:p>
    <w:p w:rsidR="009B29A8" w:rsidRDefault="00613EE9" w:rsidP="000065D6">
      <w:pPr>
        <w:spacing w:before="60" w:after="60"/>
      </w:pPr>
      <w:r>
        <w:t>Transfer</w:t>
      </w:r>
      <w:r w:rsidR="000065D6">
        <w:t xml:space="preserve"> the seven variables of interest into the Variables Box:</w:t>
      </w:r>
    </w:p>
    <w:p w:rsidR="00613EE9" w:rsidRDefault="00613EE9" w:rsidP="000065D6">
      <w:pPr>
        <w:spacing w:before="60" w:after="60"/>
      </w:pPr>
    </w:p>
    <w:p w:rsidR="000065D6" w:rsidRDefault="00D30632" w:rsidP="000065D6">
      <w:pPr>
        <w:spacing w:before="60" w:after="60"/>
      </w:pPr>
      <w:r>
        <w:rPr>
          <w:noProof/>
          <w:lang w:val="en-IE" w:eastAsia="en-IE"/>
        </w:rPr>
        <w:drawing>
          <wp:inline distT="0" distB="0" distL="0" distR="0">
            <wp:extent cx="3550508" cy="23916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2464" cy="2392976"/>
                    </a:xfrm>
                    <a:prstGeom prst="rect">
                      <a:avLst/>
                    </a:prstGeom>
                    <a:noFill/>
                    <a:ln>
                      <a:noFill/>
                    </a:ln>
                  </pic:spPr>
                </pic:pic>
              </a:graphicData>
            </a:graphic>
          </wp:inline>
        </w:drawing>
      </w:r>
    </w:p>
    <w:p w:rsidR="004C667C" w:rsidRDefault="004C667C" w:rsidP="00613EE9">
      <w:pPr>
        <w:pStyle w:val="ListParagraph"/>
        <w:numPr>
          <w:ilvl w:val="0"/>
          <w:numId w:val="1"/>
        </w:numPr>
        <w:spacing w:before="60" w:after="60"/>
      </w:pPr>
      <w:r>
        <w:t>Click Descriptives and then check Initial Solution, Coefficients, KMO and Bartlett’s Test of Sphericity</w:t>
      </w:r>
      <w:r w:rsidR="00A01F2C">
        <w:t>, and Anti-image</w:t>
      </w:r>
      <w:r>
        <w:t>.  Click Continue.</w:t>
      </w:r>
    </w:p>
    <w:p w:rsidR="004C667C" w:rsidRDefault="004C667C" w:rsidP="000065D6">
      <w:pPr>
        <w:spacing w:before="60" w:after="60"/>
      </w:pPr>
    </w:p>
    <w:p w:rsidR="004C667C" w:rsidRDefault="00D30632" w:rsidP="000065D6">
      <w:pPr>
        <w:spacing w:before="60" w:after="60"/>
      </w:pPr>
      <w:r>
        <w:rPr>
          <w:noProof/>
          <w:lang w:val="en-IE" w:eastAsia="en-IE"/>
        </w:rPr>
        <w:lastRenderedPageBreak/>
        <w:drawing>
          <wp:inline distT="0" distB="0" distL="0" distR="0">
            <wp:extent cx="2157876" cy="23948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1288" cy="2398602"/>
                    </a:xfrm>
                    <a:prstGeom prst="rect">
                      <a:avLst/>
                    </a:prstGeom>
                    <a:noFill/>
                    <a:ln>
                      <a:noFill/>
                    </a:ln>
                  </pic:spPr>
                </pic:pic>
              </a:graphicData>
            </a:graphic>
          </wp:inline>
        </w:drawing>
      </w:r>
    </w:p>
    <w:p w:rsidR="000065D6" w:rsidRPr="004C667C" w:rsidRDefault="004C667C" w:rsidP="00613EE9">
      <w:pPr>
        <w:pStyle w:val="ListParagraph"/>
        <w:numPr>
          <w:ilvl w:val="0"/>
          <w:numId w:val="1"/>
        </w:numPr>
        <w:spacing w:before="60" w:after="60"/>
      </w:pPr>
      <w:r w:rsidRPr="004C667C">
        <w:t>Click</w:t>
      </w:r>
      <w:r>
        <w:t xml:space="preserve"> Extraction and then </w:t>
      </w:r>
      <w:r w:rsidR="0079504C">
        <w:t>select</w:t>
      </w:r>
      <w:r>
        <w:t xml:space="preserve"> Correlation Matrix, Unrotated Factor Solution, Scree Plot, and Eigenvalues Over 1.  </w:t>
      </w:r>
      <w:r w:rsidR="0079504C">
        <w:t>Click Continue.</w:t>
      </w:r>
    </w:p>
    <w:p w:rsidR="004C667C" w:rsidRPr="004C667C" w:rsidRDefault="00D30632" w:rsidP="000065D6">
      <w:pPr>
        <w:spacing w:before="60" w:after="60"/>
      </w:pPr>
      <w:r>
        <w:rPr>
          <w:noProof/>
          <w:lang w:val="en-IE" w:eastAsia="en-IE"/>
        </w:rPr>
        <w:drawing>
          <wp:inline distT="0" distB="0" distL="0" distR="0">
            <wp:extent cx="2538265" cy="15322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180" cy="1533394"/>
                    </a:xfrm>
                    <a:prstGeom prst="rect">
                      <a:avLst/>
                    </a:prstGeom>
                    <a:noFill/>
                    <a:ln>
                      <a:noFill/>
                    </a:ln>
                  </pic:spPr>
                </pic:pic>
              </a:graphicData>
            </a:graphic>
          </wp:inline>
        </w:drawing>
      </w:r>
    </w:p>
    <w:p w:rsidR="004C667C" w:rsidRDefault="0079504C" w:rsidP="00613EE9">
      <w:pPr>
        <w:pStyle w:val="ListParagraph"/>
        <w:numPr>
          <w:ilvl w:val="0"/>
          <w:numId w:val="1"/>
        </w:numPr>
        <w:spacing w:before="60" w:after="60"/>
      </w:pPr>
      <w:r>
        <w:t>Click Rotation.  Select Varimax and Rotated Solution.  Click Continue.</w:t>
      </w:r>
    </w:p>
    <w:p w:rsidR="0079504C" w:rsidRPr="004C667C" w:rsidRDefault="00D30632" w:rsidP="000065D6">
      <w:pPr>
        <w:spacing w:before="60" w:after="60"/>
      </w:pPr>
      <w:r>
        <w:rPr>
          <w:noProof/>
          <w:lang w:val="en-IE" w:eastAsia="en-IE"/>
        </w:rPr>
        <w:drawing>
          <wp:inline distT="0" distB="0" distL="0" distR="0">
            <wp:extent cx="1905851" cy="14132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7094" cy="1414149"/>
                    </a:xfrm>
                    <a:prstGeom prst="rect">
                      <a:avLst/>
                    </a:prstGeom>
                    <a:noFill/>
                    <a:ln>
                      <a:noFill/>
                    </a:ln>
                  </pic:spPr>
                </pic:pic>
              </a:graphicData>
            </a:graphic>
          </wp:inline>
        </w:drawing>
      </w:r>
    </w:p>
    <w:p w:rsidR="004C667C" w:rsidRDefault="0079504C" w:rsidP="00613EE9">
      <w:pPr>
        <w:pStyle w:val="ListParagraph"/>
        <w:numPr>
          <w:ilvl w:val="0"/>
          <w:numId w:val="1"/>
        </w:numPr>
        <w:spacing w:before="60" w:after="60"/>
      </w:pPr>
      <w:r>
        <w:t>Click Options.  Select Exclude Cases Listwise and Sorted By Size.  Click Continue.</w:t>
      </w:r>
    </w:p>
    <w:p w:rsidR="0079504C" w:rsidRPr="004C667C" w:rsidRDefault="00D30632" w:rsidP="000065D6">
      <w:pPr>
        <w:spacing w:before="60" w:after="60"/>
      </w:pPr>
      <w:r>
        <w:rPr>
          <w:noProof/>
          <w:lang w:val="en-IE" w:eastAsia="en-IE"/>
        </w:rPr>
        <w:drawing>
          <wp:inline distT="0" distB="0" distL="0" distR="0">
            <wp:extent cx="2001794" cy="14005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3297" cy="1401641"/>
                    </a:xfrm>
                    <a:prstGeom prst="rect">
                      <a:avLst/>
                    </a:prstGeom>
                    <a:noFill/>
                    <a:ln>
                      <a:noFill/>
                    </a:ln>
                  </pic:spPr>
                </pic:pic>
              </a:graphicData>
            </a:graphic>
          </wp:inline>
        </w:drawing>
      </w:r>
    </w:p>
    <w:p w:rsidR="004C667C" w:rsidRPr="004C667C" w:rsidRDefault="004355EE" w:rsidP="000065D6">
      <w:pPr>
        <w:spacing w:before="60" w:after="60"/>
      </w:pPr>
      <w:r>
        <w:t xml:space="preserve">Click OK, and </w:t>
      </w:r>
      <w:r w:rsidR="00430775">
        <w:t>SPSS</w:t>
      </w:r>
      <w:r>
        <w:t xml:space="preserve"> completes the </w:t>
      </w:r>
      <w:r w:rsidR="004D137C">
        <w:t>Principal</w:t>
      </w:r>
      <w:r>
        <w:t xml:space="preserve"> Components Analysis.</w:t>
      </w:r>
    </w:p>
    <w:p w:rsidR="004C667C" w:rsidRPr="004C667C" w:rsidRDefault="004C667C" w:rsidP="000065D6">
      <w:pPr>
        <w:spacing w:before="60" w:after="60"/>
      </w:pPr>
    </w:p>
    <w:p w:rsidR="009B29A8" w:rsidRPr="00613EE9" w:rsidRDefault="008D5639" w:rsidP="00613EE9">
      <w:pPr>
        <w:spacing w:before="60" w:after="60"/>
        <w:rPr>
          <w:b/>
          <w:sz w:val="28"/>
          <w:szCs w:val="28"/>
        </w:rPr>
      </w:pPr>
      <w:r>
        <w:rPr>
          <w:b/>
        </w:rPr>
        <w:br w:type="page"/>
      </w:r>
      <w:r w:rsidR="009B29A8" w:rsidRPr="00613EE9">
        <w:rPr>
          <w:b/>
          <w:sz w:val="28"/>
          <w:szCs w:val="28"/>
        </w:rPr>
        <w:lastRenderedPageBreak/>
        <w:t>Checking For Unique Variables</w:t>
      </w:r>
    </w:p>
    <w:p w:rsidR="00613EE9" w:rsidRDefault="009B29A8" w:rsidP="000065D6">
      <w:pPr>
        <w:spacing w:before="60" w:after="60"/>
      </w:pPr>
      <w:r>
        <w:tab/>
      </w:r>
    </w:p>
    <w:p w:rsidR="009B29A8" w:rsidRDefault="009B29A8" w:rsidP="000065D6">
      <w:pPr>
        <w:spacing w:before="60" w:after="60"/>
      </w:pPr>
      <w:r>
        <w:t xml:space="preserve">Aside from the raw data matrix, the first matrix you are likely to encounter in a </w:t>
      </w:r>
      <w:r w:rsidR="004355EE">
        <w:t xml:space="preserve">PCA </w:t>
      </w:r>
      <w:r w:rsidR="00613EE9">
        <w:t>(</w:t>
      </w:r>
      <w:r w:rsidR="004355EE">
        <w:t xml:space="preserve">or </w:t>
      </w:r>
      <w:r>
        <w:t>F</w:t>
      </w:r>
      <w:r w:rsidR="00613EE9">
        <w:t xml:space="preserve">actor </w:t>
      </w:r>
      <w:r>
        <w:t>A</w:t>
      </w:r>
      <w:r w:rsidR="00613EE9">
        <w:t>nalysis)</w:t>
      </w:r>
      <w:r>
        <w:t xml:space="preserve"> is the correlation matrix.  Here is the correlation matrix for our data:</w:t>
      </w:r>
    </w:p>
    <w:p w:rsidR="00613EE9" w:rsidRPr="00613EE9" w:rsidRDefault="00613EE9" w:rsidP="00613EE9">
      <w:pPr>
        <w:autoSpaceDE w:val="0"/>
        <w:autoSpaceDN w:val="0"/>
        <w:adjustRightInd w:val="0"/>
        <w:rPr>
          <w:rFonts w:ascii="Times New Roman" w:hAnsi="Times New Roman"/>
          <w:szCs w:val="24"/>
          <w:lang w:val="en-IE"/>
        </w:rPr>
      </w:pPr>
    </w:p>
    <w:tbl>
      <w:tblPr>
        <w:tblW w:w="8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0"/>
        <w:gridCol w:w="892"/>
        <w:gridCol w:w="671"/>
        <w:gridCol w:w="671"/>
        <w:gridCol w:w="791"/>
        <w:gridCol w:w="781"/>
        <w:gridCol w:w="671"/>
        <w:gridCol w:w="731"/>
        <w:gridCol w:w="671"/>
        <w:gridCol w:w="671"/>
        <w:gridCol w:w="681"/>
      </w:tblGrid>
      <w:tr w:rsidR="00613EE9" w:rsidRPr="00613EE9" w:rsidTr="00613EE9">
        <w:tblPrEx>
          <w:tblCellMar>
            <w:top w:w="0" w:type="dxa"/>
            <w:bottom w:w="0" w:type="dxa"/>
          </w:tblCellMar>
        </w:tblPrEx>
        <w:trPr>
          <w:cantSplit/>
          <w:tblHeader/>
        </w:trPr>
        <w:tc>
          <w:tcPr>
            <w:tcW w:w="8441" w:type="dxa"/>
            <w:gridSpan w:val="11"/>
            <w:tcBorders>
              <w:top w:val="nil"/>
              <w:left w:val="nil"/>
              <w:bottom w:val="nil"/>
              <w:right w:val="nil"/>
            </w:tcBorders>
            <w:shd w:val="clear" w:color="auto" w:fill="FFFFFF"/>
            <w:vAlign w:val="center"/>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b/>
                <w:bCs/>
                <w:color w:val="000000"/>
                <w:sz w:val="18"/>
                <w:szCs w:val="18"/>
                <w:lang w:val="en-IE"/>
              </w:rPr>
              <w:t>Correlation Matrix</w:t>
            </w:r>
          </w:p>
        </w:tc>
      </w:tr>
      <w:tr w:rsidR="00613EE9" w:rsidRPr="00613EE9" w:rsidTr="00613EE9">
        <w:tblPrEx>
          <w:tblCellMar>
            <w:top w:w="0" w:type="dxa"/>
            <w:bottom w:w="0" w:type="dxa"/>
          </w:tblCellMar>
        </w:tblPrEx>
        <w:trPr>
          <w:cantSplit/>
          <w:tblHeader/>
        </w:trPr>
        <w:tc>
          <w:tcPr>
            <w:tcW w:w="210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13EE9" w:rsidRPr="00613EE9" w:rsidRDefault="00613EE9" w:rsidP="00613EE9">
            <w:pPr>
              <w:autoSpaceDE w:val="0"/>
              <w:autoSpaceDN w:val="0"/>
              <w:adjustRightInd w:val="0"/>
              <w:jc w:val="center"/>
              <w:rPr>
                <w:rFonts w:ascii="Times New Roman" w:hAnsi="Times New Roman"/>
                <w:szCs w:val="24"/>
                <w:lang w:val="en-IE"/>
              </w:rPr>
            </w:pPr>
          </w:p>
        </w:tc>
        <w:tc>
          <w:tcPr>
            <w:tcW w:w="671" w:type="dxa"/>
            <w:tcBorders>
              <w:top w:val="single" w:sz="16" w:space="0" w:color="000000"/>
              <w:left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cost</w:t>
            </w:r>
          </w:p>
        </w:tc>
        <w:tc>
          <w:tcPr>
            <w:tcW w:w="67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size</w:t>
            </w:r>
          </w:p>
        </w:tc>
        <w:tc>
          <w:tcPr>
            <w:tcW w:w="79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alcohol</w:t>
            </w:r>
          </w:p>
        </w:tc>
        <w:tc>
          <w:tcPr>
            <w:tcW w:w="78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reputat</w:t>
            </w:r>
          </w:p>
        </w:tc>
        <w:tc>
          <w:tcPr>
            <w:tcW w:w="67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color</w:t>
            </w:r>
          </w:p>
        </w:tc>
        <w:tc>
          <w:tcPr>
            <w:tcW w:w="73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aroma</w:t>
            </w:r>
          </w:p>
        </w:tc>
        <w:tc>
          <w:tcPr>
            <w:tcW w:w="67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taste</w:t>
            </w:r>
          </w:p>
        </w:tc>
        <w:tc>
          <w:tcPr>
            <w:tcW w:w="671" w:type="dxa"/>
            <w:tcBorders>
              <w:top w:val="single" w:sz="16" w:space="0" w:color="000000"/>
              <w:bottom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ses</w:t>
            </w:r>
          </w:p>
        </w:tc>
        <w:tc>
          <w:tcPr>
            <w:tcW w:w="681" w:type="dxa"/>
            <w:tcBorders>
              <w:top w:val="single" w:sz="16" w:space="0" w:color="000000"/>
              <w:bottom w:val="single" w:sz="16" w:space="0" w:color="000000"/>
              <w:right w:val="single" w:sz="16" w:space="0" w:color="000000"/>
            </w:tcBorders>
            <w:shd w:val="clear" w:color="auto" w:fill="FFFFFF"/>
            <w:vAlign w:val="bottom"/>
          </w:tcPr>
          <w:p w:rsidR="00613EE9" w:rsidRPr="00613EE9" w:rsidRDefault="00613EE9" w:rsidP="00613EE9">
            <w:pPr>
              <w:autoSpaceDE w:val="0"/>
              <w:autoSpaceDN w:val="0"/>
              <w:adjustRightInd w:val="0"/>
              <w:spacing w:line="320" w:lineRule="atLeast"/>
              <w:ind w:left="60" w:right="60"/>
              <w:jc w:val="center"/>
              <w:rPr>
                <w:rFonts w:cs="Arial"/>
                <w:color w:val="000000"/>
                <w:sz w:val="18"/>
                <w:szCs w:val="18"/>
                <w:lang w:val="en-IE"/>
              </w:rPr>
            </w:pPr>
            <w:r w:rsidRPr="00613EE9">
              <w:rPr>
                <w:rFonts w:cs="Arial"/>
                <w:color w:val="000000"/>
                <w:sz w:val="18"/>
                <w:szCs w:val="18"/>
                <w:lang w:val="en-IE"/>
              </w:rPr>
              <w:t>group</w:t>
            </w:r>
          </w:p>
        </w:tc>
      </w:tr>
      <w:tr w:rsidR="00613EE9" w:rsidRPr="00613EE9" w:rsidTr="00613EE9">
        <w:tblPrEx>
          <w:tblCellMar>
            <w:top w:w="0" w:type="dxa"/>
            <w:bottom w:w="0" w:type="dxa"/>
          </w:tblCellMar>
        </w:tblPrEx>
        <w:trPr>
          <w:cantSplit/>
          <w:tblHeader/>
        </w:trPr>
        <w:tc>
          <w:tcPr>
            <w:tcW w:w="1210" w:type="dxa"/>
            <w:vMerge w:val="restart"/>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Correlation</w:t>
            </w:r>
          </w:p>
        </w:tc>
        <w:tc>
          <w:tcPr>
            <w:tcW w:w="892" w:type="dxa"/>
            <w:tcBorders>
              <w:top w:val="single" w:sz="16" w:space="0" w:color="000000"/>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cost</w:t>
            </w:r>
          </w:p>
        </w:tc>
        <w:tc>
          <w:tcPr>
            <w:tcW w:w="671" w:type="dxa"/>
            <w:tcBorders>
              <w:top w:val="single" w:sz="16" w:space="0" w:color="000000"/>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67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.832</w:t>
            </w:r>
          </w:p>
        </w:tc>
        <w:tc>
          <w:tcPr>
            <w:tcW w:w="79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.767</w:t>
            </w:r>
          </w:p>
        </w:tc>
        <w:tc>
          <w:tcPr>
            <w:tcW w:w="78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-.406</w:t>
            </w:r>
          </w:p>
        </w:tc>
        <w:tc>
          <w:tcPr>
            <w:tcW w:w="67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.018</w:t>
            </w:r>
          </w:p>
        </w:tc>
        <w:tc>
          <w:tcPr>
            <w:tcW w:w="73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-.046</w:t>
            </w:r>
          </w:p>
        </w:tc>
        <w:tc>
          <w:tcPr>
            <w:tcW w:w="67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-.064</w:t>
            </w:r>
          </w:p>
        </w:tc>
        <w:tc>
          <w:tcPr>
            <w:tcW w:w="671" w:type="dxa"/>
            <w:tcBorders>
              <w:top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-.662</w:t>
            </w:r>
          </w:p>
        </w:tc>
        <w:tc>
          <w:tcPr>
            <w:tcW w:w="681" w:type="dxa"/>
            <w:tcBorders>
              <w:top w:val="single" w:sz="16" w:space="0" w:color="000000"/>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-.515</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size</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.832</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.904</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-.392</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.179</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.098</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.026</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-.662</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-.572</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alcohol</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.767</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.904</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-.463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.072</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.044</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.012</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-.652</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-.636</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reputat</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-.406</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-.392</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-.463</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-.372</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-.443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-.443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.056</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.274</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color</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.018</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.179</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.072</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-.372</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.909</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.583</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.435</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aroma</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-.046</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.098</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.044</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-.443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.909</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.870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.640</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.399</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taste</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-.064</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.026</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.012</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-.443</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.903</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.870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.681</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.500</w:t>
            </w:r>
          </w:p>
        </w:tc>
      </w:tr>
      <w:tr w:rsidR="00613EE9" w:rsidRPr="00613EE9" w:rsidTr="00613EE9">
        <w:tblPrEx>
          <w:tblCellMar>
            <w:top w:w="0" w:type="dxa"/>
            <w:bottom w:w="0" w:type="dxa"/>
          </w:tblCellMar>
        </w:tblPrEx>
        <w:trPr>
          <w:cantSplit/>
          <w:tblHeader/>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ses</w:t>
            </w:r>
          </w:p>
        </w:tc>
        <w:tc>
          <w:tcPr>
            <w:tcW w:w="671" w:type="dxa"/>
            <w:tcBorders>
              <w:top w:val="nil"/>
              <w:left w:val="single" w:sz="16" w:space="0" w:color="000000"/>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-.662</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-.662</w:t>
            </w:r>
          </w:p>
        </w:tc>
        <w:tc>
          <w:tcPr>
            <w:tcW w:w="79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-.652</w:t>
            </w:r>
          </w:p>
        </w:tc>
        <w:tc>
          <w:tcPr>
            <w:tcW w:w="78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.056</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.583</w:t>
            </w:r>
          </w:p>
        </w:tc>
        <w:tc>
          <w:tcPr>
            <w:tcW w:w="73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.640</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.681</w:t>
            </w:r>
          </w:p>
        </w:tc>
        <w:tc>
          <w:tcPr>
            <w:tcW w:w="671" w:type="dxa"/>
            <w:tcBorders>
              <w:top w:val="nil"/>
              <w:bottom w:val="nil"/>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c>
          <w:tcPr>
            <w:tcW w:w="681" w:type="dxa"/>
            <w:tcBorders>
              <w:top w:val="nil"/>
              <w:bottom w:val="nil"/>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.790</w:t>
            </w:r>
          </w:p>
        </w:tc>
      </w:tr>
      <w:tr w:rsidR="00613EE9" w:rsidRPr="00613EE9" w:rsidTr="00613EE9">
        <w:tblPrEx>
          <w:tblCellMar>
            <w:top w:w="0" w:type="dxa"/>
            <w:bottom w:w="0" w:type="dxa"/>
          </w:tblCellMar>
        </w:tblPrEx>
        <w:trPr>
          <w:cantSplit/>
        </w:trPr>
        <w:tc>
          <w:tcPr>
            <w:tcW w:w="1210" w:type="dxa"/>
            <w:vMerge/>
            <w:tcBorders>
              <w:top w:val="single" w:sz="16" w:space="0" w:color="000000"/>
              <w:left w:val="single" w:sz="16" w:space="0" w:color="000000"/>
              <w:bottom w:val="single" w:sz="16" w:space="0" w:color="000000"/>
              <w:right w:val="nil"/>
            </w:tcBorders>
            <w:shd w:val="clear" w:color="auto" w:fill="FFFFFF"/>
          </w:tcPr>
          <w:p w:rsidR="00613EE9" w:rsidRPr="00613EE9" w:rsidRDefault="00613EE9" w:rsidP="00613EE9">
            <w:pPr>
              <w:autoSpaceDE w:val="0"/>
              <w:autoSpaceDN w:val="0"/>
              <w:adjustRightInd w:val="0"/>
              <w:rPr>
                <w:rFonts w:cs="Arial"/>
                <w:color w:val="000000"/>
                <w:sz w:val="18"/>
                <w:szCs w:val="18"/>
                <w:lang w:val="en-IE"/>
              </w:rPr>
            </w:pPr>
          </w:p>
        </w:tc>
        <w:tc>
          <w:tcPr>
            <w:tcW w:w="892" w:type="dxa"/>
            <w:tcBorders>
              <w:top w:val="nil"/>
              <w:left w:val="nil"/>
              <w:bottom w:val="single" w:sz="16" w:space="0" w:color="000000"/>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rPr>
                <w:rFonts w:cs="Arial"/>
                <w:color w:val="000000"/>
                <w:sz w:val="18"/>
                <w:szCs w:val="18"/>
                <w:lang w:val="en-IE"/>
              </w:rPr>
            </w:pPr>
            <w:r w:rsidRPr="00613EE9">
              <w:rPr>
                <w:rFonts w:cs="Arial"/>
                <w:color w:val="000000"/>
                <w:sz w:val="18"/>
                <w:szCs w:val="18"/>
                <w:lang w:val="en-IE"/>
              </w:rPr>
              <w:t>group</w:t>
            </w:r>
          </w:p>
        </w:tc>
        <w:tc>
          <w:tcPr>
            <w:tcW w:w="671" w:type="dxa"/>
            <w:tcBorders>
              <w:top w:val="nil"/>
              <w:left w:val="single" w:sz="16" w:space="0" w:color="000000"/>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-.515</w:t>
            </w:r>
          </w:p>
        </w:tc>
        <w:tc>
          <w:tcPr>
            <w:tcW w:w="67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-.572</w:t>
            </w:r>
          </w:p>
        </w:tc>
        <w:tc>
          <w:tcPr>
            <w:tcW w:w="79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-.636</w:t>
            </w:r>
          </w:p>
        </w:tc>
        <w:tc>
          <w:tcPr>
            <w:tcW w:w="78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.274</w:t>
            </w:r>
          </w:p>
        </w:tc>
        <w:tc>
          <w:tcPr>
            <w:tcW w:w="67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.435</w:t>
            </w:r>
          </w:p>
        </w:tc>
        <w:tc>
          <w:tcPr>
            <w:tcW w:w="73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.399</w:t>
            </w:r>
          </w:p>
        </w:tc>
        <w:tc>
          <w:tcPr>
            <w:tcW w:w="67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.500</w:t>
            </w:r>
          </w:p>
        </w:tc>
        <w:tc>
          <w:tcPr>
            <w:tcW w:w="671" w:type="dxa"/>
            <w:tcBorders>
              <w:top w:val="nil"/>
              <w:bottom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.790</w:t>
            </w:r>
          </w:p>
        </w:tc>
        <w:tc>
          <w:tcPr>
            <w:tcW w:w="681" w:type="dxa"/>
            <w:tcBorders>
              <w:top w:val="nil"/>
              <w:bottom w:val="single" w:sz="16" w:space="0" w:color="000000"/>
              <w:right w:val="single" w:sz="16" w:space="0" w:color="000000"/>
            </w:tcBorders>
            <w:shd w:val="clear" w:color="auto" w:fill="FFFFFF"/>
          </w:tcPr>
          <w:p w:rsidR="00613EE9" w:rsidRPr="00613EE9" w:rsidRDefault="00613EE9" w:rsidP="00613EE9">
            <w:pPr>
              <w:autoSpaceDE w:val="0"/>
              <w:autoSpaceDN w:val="0"/>
              <w:adjustRightInd w:val="0"/>
              <w:spacing w:line="320" w:lineRule="atLeast"/>
              <w:ind w:left="60" w:right="60"/>
              <w:jc w:val="right"/>
              <w:rPr>
                <w:rFonts w:cs="Arial"/>
                <w:color w:val="000000"/>
                <w:sz w:val="18"/>
                <w:szCs w:val="18"/>
                <w:lang w:val="en-IE"/>
              </w:rPr>
            </w:pPr>
            <w:r w:rsidRPr="00613EE9">
              <w:rPr>
                <w:rFonts w:cs="Arial"/>
                <w:color w:val="000000"/>
                <w:sz w:val="18"/>
                <w:szCs w:val="18"/>
                <w:lang w:val="en-IE"/>
              </w:rPr>
              <w:t>1.000</w:t>
            </w:r>
          </w:p>
        </w:tc>
      </w:tr>
    </w:tbl>
    <w:p w:rsidR="00613EE9" w:rsidRPr="00613EE9" w:rsidRDefault="00613EE9" w:rsidP="00613EE9">
      <w:pPr>
        <w:autoSpaceDE w:val="0"/>
        <w:autoSpaceDN w:val="0"/>
        <w:adjustRightInd w:val="0"/>
        <w:spacing w:line="400" w:lineRule="atLeast"/>
        <w:rPr>
          <w:rFonts w:ascii="Times New Roman" w:hAnsi="Times New Roman"/>
          <w:szCs w:val="24"/>
          <w:lang w:val="en-IE"/>
        </w:rPr>
      </w:pPr>
    </w:p>
    <w:p w:rsidR="00613EE9" w:rsidRDefault="009B29A8" w:rsidP="000065D6">
      <w:pPr>
        <w:spacing w:before="60" w:after="60"/>
      </w:pPr>
      <w:r>
        <w:t xml:space="preserve">Unless it is just too large to grasp, you should give the correlation matrix a </w:t>
      </w:r>
      <w:r w:rsidR="00613EE9">
        <w:t>thorough visual inspection</w:t>
      </w:r>
      <w:r>
        <w:t xml:space="preserve">  You are planning to use PCA to capture the essence of the correlations in this matrix.  Notice that there are many medium to large correlations in this matrix, and that every variable, except reputation, has so</w:t>
      </w:r>
      <w:r w:rsidR="00B415C0">
        <w:t>me large correlations, and repu</w:t>
      </w:r>
      <w:r>
        <w:t xml:space="preserve">tation is moderately correlated with everything else (negatively).  </w:t>
      </w:r>
    </w:p>
    <w:p w:rsidR="00613EE9" w:rsidRDefault="009B29A8" w:rsidP="000065D6">
      <w:pPr>
        <w:spacing w:before="60" w:after="60"/>
      </w:pPr>
      <w:r>
        <w:t xml:space="preserve">There is </w:t>
      </w:r>
      <w:r w:rsidR="00613EE9">
        <w:t xml:space="preserve">also </w:t>
      </w:r>
      <w:r>
        <w:t xml:space="preserve">a statistic, Bartlett’s test of sphericity, that can be used to test the null hypothesis that our sample was randomly drawn from a population in which the correlation matrix was an identity matrix, a matrix full of zeros, except, of course, for ones on the main diagonal.  </w:t>
      </w:r>
      <w:r>
        <w:tab/>
      </w:r>
    </w:p>
    <w:p w:rsidR="00613EE9" w:rsidRDefault="00613EE9" w:rsidP="000065D6">
      <w:pPr>
        <w:spacing w:before="60" w:after="60"/>
      </w:pPr>
    </w:p>
    <w:p w:rsidR="009B29A8" w:rsidRDefault="009B29A8" w:rsidP="000065D6">
      <w:pPr>
        <w:spacing w:before="60" w:after="60"/>
      </w:pPr>
      <w:r>
        <w:t xml:space="preserve">If there are any variables that are not correlated with the other variables, you might as well delete them prior to the PCA. If you are using PCA to reduce the set of variables to a smaller set of </w:t>
      </w:r>
      <w:r w:rsidR="007A209B">
        <w:t>components</w:t>
      </w:r>
      <w:r>
        <w:t xml:space="preserve"> to be used in additional analyses, you can always reintroduce the unique (not correlated with other variables) variables at that time.  Alternatively, you may wish to collect more data, adding variables that you think will indeed correlate with the now unique variable, and then run the PCA on the new data set.</w:t>
      </w:r>
    </w:p>
    <w:p w:rsidR="00613EE9" w:rsidRDefault="00613EE9" w:rsidP="000065D6">
      <w:pPr>
        <w:spacing w:before="60" w:after="60"/>
      </w:pPr>
    </w:p>
    <w:p w:rsidR="00613EE9" w:rsidRDefault="00613EE9" w:rsidP="000065D6">
      <w:pPr>
        <w:spacing w:before="60" w:after="60"/>
      </w:pPr>
    </w:p>
    <w:p w:rsidR="00613EE9" w:rsidRDefault="00613EE9" w:rsidP="000065D6">
      <w:pPr>
        <w:spacing w:before="60" w:after="60"/>
      </w:pPr>
    </w:p>
    <w:p w:rsidR="00613EE9" w:rsidRDefault="00613EE9" w:rsidP="000065D6">
      <w:pPr>
        <w:spacing w:before="60" w:after="60"/>
      </w:pPr>
    </w:p>
    <w:p w:rsidR="00613EE9" w:rsidRDefault="00613EE9" w:rsidP="000065D6">
      <w:pPr>
        <w:spacing w:before="60" w:after="60"/>
      </w:pPr>
    </w:p>
    <w:p w:rsidR="00613EE9" w:rsidRDefault="00613EE9" w:rsidP="000065D6">
      <w:pPr>
        <w:spacing w:before="60" w:after="60"/>
      </w:pPr>
    </w:p>
    <w:p w:rsidR="00613EE9" w:rsidRDefault="00613EE9" w:rsidP="000065D6">
      <w:pPr>
        <w:spacing w:before="60" w:after="60"/>
      </w:pPr>
    </w:p>
    <w:tbl>
      <w:tblPr>
        <w:tblpPr w:leftFromText="180" w:rightFromText="180" w:vertAnchor="text" w:horzAnchor="page" w:tblpX="8692" w:tblpY="89"/>
        <w:tblW w:w="1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20"/>
        <w:gridCol w:w="864"/>
        <w:gridCol w:w="36"/>
      </w:tblGrid>
      <w:tr w:rsidR="002A3F40" w:rsidRPr="002A3F40" w:rsidTr="002A3F40">
        <w:trPr>
          <w:cantSplit/>
          <w:tblHeader/>
        </w:trPr>
        <w:tc>
          <w:tcPr>
            <w:tcW w:w="1920" w:type="dxa"/>
            <w:gridSpan w:val="3"/>
            <w:tcBorders>
              <w:top w:val="nil"/>
              <w:left w:val="nil"/>
              <w:bottom w:val="nil"/>
              <w:right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center"/>
              <w:rPr>
                <w:rFonts w:cs="Arial"/>
                <w:color w:val="000000"/>
                <w:sz w:val="18"/>
                <w:szCs w:val="18"/>
              </w:rPr>
            </w:pPr>
            <w:r w:rsidRPr="002A3F40">
              <w:rPr>
                <w:rFonts w:cs="Arial"/>
                <w:b/>
                <w:bCs/>
                <w:color w:val="000000"/>
                <w:sz w:val="18"/>
                <w:szCs w:val="18"/>
              </w:rPr>
              <w:lastRenderedPageBreak/>
              <w:t>Communalities</w:t>
            </w:r>
          </w:p>
        </w:tc>
      </w:tr>
      <w:tr w:rsidR="002A3F40" w:rsidRPr="002A3F40" w:rsidTr="002A3F40">
        <w:trPr>
          <w:gridAfter w:val="1"/>
          <w:wAfter w:w="36" w:type="dxa"/>
          <w:cantSplit/>
          <w:tblHeader/>
        </w:trPr>
        <w:tc>
          <w:tcPr>
            <w:tcW w:w="10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rPr>
                <w:rFonts w:ascii="Times New Roman" w:hAnsi="Times New Roman"/>
                <w:szCs w:val="24"/>
              </w:rPr>
            </w:pPr>
          </w:p>
        </w:tc>
        <w:tc>
          <w:tcPr>
            <w:tcW w:w="86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A3F40" w:rsidRPr="002A3F40" w:rsidRDefault="002A3F40" w:rsidP="002A3F40">
            <w:pPr>
              <w:autoSpaceDE w:val="0"/>
              <w:autoSpaceDN w:val="0"/>
              <w:adjustRightInd w:val="0"/>
              <w:spacing w:line="320" w:lineRule="atLeast"/>
              <w:jc w:val="center"/>
              <w:rPr>
                <w:rFonts w:cs="Arial"/>
                <w:color w:val="000000"/>
                <w:szCs w:val="24"/>
              </w:rPr>
            </w:pPr>
            <w:r w:rsidRPr="002A3F40">
              <w:rPr>
                <w:rFonts w:cs="Arial"/>
                <w:color w:val="000000"/>
                <w:szCs w:val="24"/>
              </w:rPr>
              <w:t>Initial</w:t>
            </w:r>
          </w:p>
        </w:tc>
      </w:tr>
      <w:tr w:rsidR="002A3F40" w:rsidRPr="002A3F40" w:rsidTr="002A3F40">
        <w:trPr>
          <w:gridAfter w:val="1"/>
          <w:wAfter w:w="36" w:type="dxa"/>
          <w:cantSplit/>
          <w:tblHeader/>
        </w:trPr>
        <w:tc>
          <w:tcPr>
            <w:tcW w:w="102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cost</w:t>
            </w:r>
          </w:p>
        </w:tc>
        <w:tc>
          <w:tcPr>
            <w:tcW w:w="86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.738</w:t>
            </w:r>
          </w:p>
        </w:tc>
      </w:tr>
      <w:tr w:rsidR="002A3F40" w:rsidRPr="002A3F40" w:rsidTr="002A3F40">
        <w:trPr>
          <w:gridAfter w:val="1"/>
          <w:wAfter w:w="36" w:type="dxa"/>
          <w:cantSplit/>
          <w:tblHeader/>
        </w:trPr>
        <w:tc>
          <w:tcPr>
            <w:tcW w:w="102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size</w:t>
            </w:r>
          </w:p>
        </w:tc>
        <w:tc>
          <w:tcPr>
            <w:tcW w:w="864" w:type="dxa"/>
            <w:tcBorders>
              <w:top w:val="nil"/>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.912</w:t>
            </w:r>
          </w:p>
        </w:tc>
      </w:tr>
      <w:tr w:rsidR="002A3F40" w:rsidRPr="002A3F40" w:rsidTr="002A3F40">
        <w:trPr>
          <w:gridAfter w:val="1"/>
          <w:wAfter w:w="36" w:type="dxa"/>
          <w:cantSplit/>
          <w:tblHeader/>
        </w:trPr>
        <w:tc>
          <w:tcPr>
            <w:tcW w:w="102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alcohol</w:t>
            </w:r>
          </w:p>
        </w:tc>
        <w:tc>
          <w:tcPr>
            <w:tcW w:w="864" w:type="dxa"/>
            <w:tcBorders>
              <w:top w:val="nil"/>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.866</w:t>
            </w:r>
          </w:p>
        </w:tc>
      </w:tr>
      <w:tr w:rsidR="002A3F40" w:rsidRPr="002A3F40" w:rsidTr="002A3F40">
        <w:trPr>
          <w:gridAfter w:val="1"/>
          <w:wAfter w:w="36" w:type="dxa"/>
          <w:cantSplit/>
          <w:tblHeader/>
        </w:trPr>
        <w:tc>
          <w:tcPr>
            <w:tcW w:w="102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reputat</w:t>
            </w:r>
          </w:p>
        </w:tc>
        <w:tc>
          <w:tcPr>
            <w:tcW w:w="864" w:type="dxa"/>
            <w:tcBorders>
              <w:top w:val="nil"/>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.499</w:t>
            </w:r>
          </w:p>
        </w:tc>
      </w:tr>
      <w:tr w:rsidR="002A3F40" w:rsidRPr="002A3F40" w:rsidTr="002A3F40">
        <w:trPr>
          <w:gridAfter w:val="1"/>
          <w:wAfter w:w="36" w:type="dxa"/>
          <w:cantSplit/>
          <w:tblHeader/>
        </w:trPr>
        <w:tc>
          <w:tcPr>
            <w:tcW w:w="102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color</w:t>
            </w:r>
          </w:p>
        </w:tc>
        <w:tc>
          <w:tcPr>
            <w:tcW w:w="864" w:type="dxa"/>
            <w:tcBorders>
              <w:top w:val="nil"/>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.922</w:t>
            </w:r>
          </w:p>
        </w:tc>
      </w:tr>
      <w:tr w:rsidR="002A3F40" w:rsidRPr="002A3F40" w:rsidTr="002A3F40">
        <w:trPr>
          <w:gridAfter w:val="1"/>
          <w:wAfter w:w="36" w:type="dxa"/>
          <w:cantSplit/>
          <w:tblHeader/>
        </w:trPr>
        <w:tc>
          <w:tcPr>
            <w:tcW w:w="102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aroma</w:t>
            </w:r>
          </w:p>
        </w:tc>
        <w:tc>
          <w:tcPr>
            <w:tcW w:w="864" w:type="dxa"/>
            <w:tcBorders>
              <w:top w:val="nil"/>
              <w:left w:val="single" w:sz="16" w:space="0" w:color="000000"/>
              <w:bottom w:val="nil"/>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.857</w:t>
            </w:r>
          </w:p>
        </w:tc>
      </w:tr>
      <w:tr w:rsidR="002A3F40" w:rsidRPr="002A3F40" w:rsidTr="002A3F40">
        <w:trPr>
          <w:gridAfter w:val="1"/>
          <w:wAfter w:w="36" w:type="dxa"/>
          <w:cantSplit/>
          <w:tblHeader/>
        </w:trPr>
        <w:tc>
          <w:tcPr>
            <w:tcW w:w="102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A3F40" w:rsidRPr="002A3F40" w:rsidRDefault="002A3F40" w:rsidP="002A3F40">
            <w:pPr>
              <w:autoSpaceDE w:val="0"/>
              <w:autoSpaceDN w:val="0"/>
              <w:adjustRightInd w:val="0"/>
              <w:spacing w:line="320" w:lineRule="atLeast"/>
              <w:rPr>
                <w:rFonts w:cs="Arial"/>
                <w:color w:val="000000"/>
                <w:szCs w:val="24"/>
              </w:rPr>
            </w:pPr>
            <w:r w:rsidRPr="002A3F40">
              <w:rPr>
                <w:rFonts w:cs="Arial"/>
                <w:color w:val="000000"/>
                <w:szCs w:val="24"/>
              </w:rPr>
              <w:t>taste</w:t>
            </w:r>
          </w:p>
        </w:tc>
        <w:tc>
          <w:tcPr>
            <w:tcW w:w="86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2A3F40" w:rsidRPr="002A3F40" w:rsidRDefault="002A3F40" w:rsidP="002A3F40">
            <w:pPr>
              <w:autoSpaceDE w:val="0"/>
              <w:autoSpaceDN w:val="0"/>
              <w:adjustRightInd w:val="0"/>
              <w:spacing w:line="320" w:lineRule="atLeast"/>
              <w:jc w:val="right"/>
              <w:rPr>
                <w:rFonts w:cs="Arial"/>
                <w:color w:val="000000"/>
                <w:szCs w:val="24"/>
              </w:rPr>
            </w:pPr>
            <w:r w:rsidRPr="002A3F40">
              <w:rPr>
                <w:rFonts w:cs="Arial"/>
                <w:color w:val="000000"/>
                <w:szCs w:val="24"/>
              </w:rPr>
              <w:t>.881</w:t>
            </w:r>
          </w:p>
        </w:tc>
      </w:tr>
    </w:tbl>
    <w:p w:rsidR="00613EE9" w:rsidRDefault="00613EE9" w:rsidP="000065D6">
      <w:pPr>
        <w:spacing w:before="60" w:after="60"/>
      </w:pPr>
      <w:r>
        <w:t>Communalities</w:t>
      </w:r>
    </w:p>
    <w:p w:rsidR="00613EE9" w:rsidRDefault="00613EE9" w:rsidP="000065D6">
      <w:pPr>
        <w:spacing w:before="60" w:after="60"/>
      </w:pPr>
    </w:p>
    <w:p w:rsidR="009B29A8" w:rsidRDefault="009B29A8" w:rsidP="000065D6">
      <w:pPr>
        <w:spacing w:before="60" w:after="60"/>
      </w:pPr>
      <w:r>
        <w:t xml:space="preserve">One may also wish to inspect the Squared Multiple Correlation coefficient (SMC or </w:t>
      </w:r>
      <w:r>
        <w:rPr>
          <w:i/>
        </w:rPr>
        <w:t>R</w:t>
      </w:r>
      <w:r>
        <w:rPr>
          <w:i/>
          <w:vertAlign w:val="superscript"/>
        </w:rPr>
        <w:t>2</w:t>
      </w:r>
      <w:r>
        <w:t xml:space="preserve"> ) of each variable with all other variables. Variables with small </w:t>
      </w:r>
      <w:r>
        <w:rPr>
          <w:i/>
        </w:rPr>
        <w:t>R</w:t>
      </w:r>
      <w:r>
        <w:rPr>
          <w:i/>
          <w:vertAlign w:val="superscript"/>
        </w:rPr>
        <w:t>2</w:t>
      </w:r>
      <w:r>
        <w:t xml:space="preserve"> s are unique variables, not well correlated with a linear combination of the other variables.</w:t>
      </w:r>
      <w:r w:rsidR="002A3F40">
        <w:t xml:space="preserve">  If you conduct a </w:t>
      </w:r>
      <w:r w:rsidR="004D137C">
        <w:t>principal</w:t>
      </w:r>
      <w:r w:rsidR="002A3F40">
        <w:t xml:space="preserve"> axis factor analysis, these are found in the </w:t>
      </w:r>
      <w:r w:rsidR="002A3F40" w:rsidRPr="00613EE9">
        <w:rPr>
          <w:b/>
          <w:i/>
        </w:rPr>
        <w:t xml:space="preserve">Communalities </w:t>
      </w:r>
      <w:r w:rsidR="002A3F40">
        <w:t>(Initial) table.</w:t>
      </w:r>
    </w:p>
    <w:p w:rsidR="002A3F40" w:rsidRPr="002A3F40" w:rsidRDefault="002A3F40" w:rsidP="002A3F40">
      <w:pPr>
        <w:autoSpaceDE w:val="0"/>
        <w:autoSpaceDN w:val="0"/>
        <w:adjustRightInd w:val="0"/>
        <w:rPr>
          <w:rFonts w:ascii="Times New Roman" w:hAnsi="Times New Roman"/>
          <w:szCs w:val="24"/>
        </w:rPr>
      </w:pPr>
    </w:p>
    <w:p w:rsidR="002A3F40" w:rsidRPr="002A3F40" w:rsidRDefault="002A3F40" w:rsidP="002A3F40">
      <w:pPr>
        <w:autoSpaceDE w:val="0"/>
        <w:autoSpaceDN w:val="0"/>
        <w:adjustRightInd w:val="0"/>
        <w:spacing w:line="400" w:lineRule="atLeast"/>
        <w:rPr>
          <w:rFonts w:ascii="Times New Roman" w:hAnsi="Times New Roman"/>
          <w:szCs w:val="24"/>
        </w:rPr>
      </w:pPr>
    </w:p>
    <w:p w:rsidR="002A3F40" w:rsidRDefault="002A3F40" w:rsidP="000065D6">
      <w:pPr>
        <w:spacing w:before="60" w:after="60"/>
      </w:pPr>
    </w:p>
    <w:p w:rsidR="00D83E57" w:rsidRDefault="00D83E57" w:rsidP="000065D6">
      <w:pPr>
        <w:spacing w:before="60" w:after="60"/>
      </w:pPr>
    </w:p>
    <w:p w:rsidR="002A3F40" w:rsidRDefault="002A3F40" w:rsidP="00D83E57">
      <w:pPr>
        <w:spacing w:before="60" w:after="60"/>
        <w:jc w:val="center"/>
        <w:rPr>
          <w:b/>
          <w:color w:val="008000"/>
        </w:rPr>
      </w:pPr>
    </w:p>
    <w:p w:rsidR="00D83E57" w:rsidRPr="00613EE9" w:rsidRDefault="002A3F40" w:rsidP="00613EE9">
      <w:pPr>
        <w:spacing w:before="60" w:after="60"/>
        <w:rPr>
          <w:b/>
        </w:rPr>
      </w:pPr>
      <w:r>
        <w:rPr>
          <w:b/>
          <w:color w:val="008000"/>
        </w:rPr>
        <w:br w:type="page"/>
      </w:r>
      <w:r w:rsidR="00D83E57" w:rsidRPr="00613EE9">
        <w:rPr>
          <w:b/>
        </w:rPr>
        <w:lastRenderedPageBreak/>
        <w:t>Kaiser’s Measure of Sampling Adequacy</w:t>
      </w:r>
    </w:p>
    <w:p w:rsidR="00613EE9" w:rsidRDefault="00F34AD3" w:rsidP="000065D6">
      <w:pPr>
        <w:spacing w:before="60" w:after="60"/>
      </w:pPr>
      <w:r>
        <w:t>It is undesirable to have two variables which share variance with each other but not with other variables.</w:t>
      </w:r>
      <w:r w:rsidR="009B29A8">
        <w:t xml:space="preserve">  </w:t>
      </w:r>
    </w:p>
    <w:p w:rsidR="00613EE9" w:rsidRDefault="00613EE9" w:rsidP="000065D6">
      <w:pPr>
        <w:spacing w:before="60" w:after="60"/>
      </w:pPr>
    </w:p>
    <w:p w:rsidR="009B29A8" w:rsidRDefault="009B29A8" w:rsidP="000065D6">
      <w:pPr>
        <w:spacing w:before="60" w:after="60"/>
      </w:pPr>
      <w:r>
        <w:t>Recall that the partial correlation coefficient between variables X</w:t>
      </w:r>
      <w:r>
        <w:rPr>
          <w:vertAlign w:val="subscript"/>
        </w:rPr>
        <w:t>i</w:t>
      </w:r>
      <w:r>
        <w:t xml:space="preserve"> and X</w:t>
      </w:r>
      <w:r>
        <w:rPr>
          <w:vertAlign w:val="subscript"/>
        </w:rPr>
        <w:t>j</w:t>
      </w:r>
      <w:r>
        <w:t xml:space="preserve"> is the correlation between two residuals,</w:t>
      </w:r>
    </w:p>
    <w:p w:rsidR="009B29A8" w:rsidRDefault="009B29A8" w:rsidP="000065D6">
      <w:pPr>
        <w:spacing w:before="60" w:after="60"/>
        <w:jc w:val="center"/>
      </w:pPr>
      <w:r w:rsidRPr="00485B66">
        <w:rPr>
          <w:position w:val="-14"/>
        </w:rPr>
        <w:object w:dxaOrig="18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21.4pt" o:ole="" fillcolor="window">
            <v:imagedata r:id="rId13" o:title=""/>
          </v:shape>
          <o:OLEObject Type="Embed" ProgID="Equation.3" ShapeID="_x0000_i1025" DrawAspect="Content" ObjectID="_1422180041" r:id="rId14"/>
        </w:object>
      </w:r>
      <w:r>
        <w:t xml:space="preserve"> and </w:t>
      </w:r>
      <w:r w:rsidRPr="00485B66">
        <w:rPr>
          <w:position w:val="-14"/>
        </w:rPr>
        <w:object w:dxaOrig="1840" w:dyaOrig="420">
          <v:shape id="_x0000_i1026" type="#_x0000_t75" style="width:92.1pt;height:21.4pt" o:ole="" fillcolor="window">
            <v:imagedata r:id="rId15" o:title=""/>
          </v:shape>
          <o:OLEObject Type="Embed" ProgID="Equation.3" ShapeID="_x0000_i1026" DrawAspect="Content" ObjectID="_1422180042" r:id="rId16"/>
        </w:object>
      </w:r>
    </w:p>
    <w:p w:rsidR="009B29A8" w:rsidRDefault="009B29A8" w:rsidP="000065D6">
      <w:pPr>
        <w:spacing w:before="60" w:after="60"/>
        <w:jc w:val="center"/>
      </w:pPr>
    </w:p>
    <w:p w:rsidR="009B29A8" w:rsidRDefault="009B29A8" w:rsidP="00613EE9">
      <w:pPr>
        <w:spacing w:before="60" w:after="60"/>
      </w:pPr>
      <w:r>
        <w:t>A large partial correlation indicates that the variables involved share variance that is not shared by the other variables in the data set.  Kaiser’s Measure of Sampling Adequacy (</w:t>
      </w:r>
      <w:r>
        <w:rPr>
          <w:b/>
        </w:rPr>
        <w:t>MSA</w:t>
      </w:r>
      <w:r>
        <w:t>) for a variable X</w:t>
      </w:r>
      <w:r>
        <w:rPr>
          <w:vertAlign w:val="subscript"/>
        </w:rPr>
        <w:t>i</w:t>
      </w:r>
      <w:r>
        <w:t xml:space="preserve"> is the ratio of the sum of the squared simple </w:t>
      </w:r>
      <w:r>
        <w:rPr>
          <w:i/>
        </w:rPr>
        <w:t>r</w:t>
      </w:r>
      <w:r>
        <w:t>’s between X</w:t>
      </w:r>
      <w:r>
        <w:rPr>
          <w:vertAlign w:val="subscript"/>
        </w:rPr>
        <w:t>i</w:t>
      </w:r>
      <w:r>
        <w:t xml:space="preserve"> and each other X to (that same sum plus the sum of the squared partial </w:t>
      </w:r>
      <w:r>
        <w:rPr>
          <w:i/>
        </w:rPr>
        <w:t>r</w:t>
      </w:r>
      <w:r>
        <w:t>’s between X</w:t>
      </w:r>
      <w:r>
        <w:rPr>
          <w:vertAlign w:val="subscript"/>
        </w:rPr>
        <w:t>i</w:t>
      </w:r>
      <w:r>
        <w:t xml:space="preserve"> and each other X).  Recall that squared </w:t>
      </w:r>
      <w:r>
        <w:rPr>
          <w:i/>
        </w:rPr>
        <w:t>r</w:t>
      </w:r>
      <w:r>
        <w:t>’s can be thought of as variances.</w:t>
      </w:r>
    </w:p>
    <w:p w:rsidR="009B29A8" w:rsidRDefault="009B29A8" w:rsidP="000065D6">
      <w:pPr>
        <w:spacing w:before="60" w:after="60"/>
        <w:jc w:val="center"/>
      </w:pPr>
      <w:r w:rsidRPr="00485B66">
        <w:rPr>
          <w:position w:val="-34"/>
        </w:rPr>
        <w:object w:dxaOrig="2299" w:dyaOrig="800">
          <v:shape id="_x0000_i1027" type="#_x0000_t75" style="width:114.8pt;height:40.2pt" o:ole="" fillcolor="window">
            <v:imagedata r:id="rId17" o:title=""/>
          </v:shape>
          <o:OLEObject Type="Embed" ProgID="Equation.3" ShapeID="_x0000_i1027" DrawAspect="Content" ObjectID="_1422180043" r:id="rId18"/>
        </w:object>
      </w:r>
    </w:p>
    <w:p w:rsidR="009B29A8" w:rsidRDefault="009B29A8" w:rsidP="000065D6">
      <w:pPr>
        <w:spacing w:before="60" w:after="60"/>
      </w:pPr>
      <w:r>
        <w:t xml:space="preserve">Small values of </w:t>
      </w:r>
      <w:r w:rsidRPr="0013727C">
        <w:rPr>
          <w:i/>
        </w:rPr>
        <w:t>MSA</w:t>
      </w:r>
      <w:r>
        <w:t xml:space="preserve"> indicate that the correlations between X</w:t>
      </w:r>
      <w:r>
        <w:rPr>
          <w:vertAlign w:val="subscript"/>
        </w:rPr>
        <w:t>i</w:t>
      </w:r>
      <w:r>
        <w:t xml:space="preserve"> and the other variables are unique, that is, not related to the remaining variables outside each simple correlation.  Kaiser has described </w:t>
      </w:r>
      <w:r w:rsidRPr="0013727C">
        <w:rPr>
          <w:i/>
        </w:rPr>
        <w:t>MSAs</w:t>
      </w:r>
      <w:r>
        <w:t xml:space="preserve"> above .9 as </w:t>
      </w:r>
      <w:r w:rsidRPr="00D06748">
        <w:rPr>
          <w:b/>
          <w:i/>
        </w:rPr>
        <w:t>marvelous</w:t>
      </w:r>
      <w:r>
        <w:t xml:space="preserve">, above .8 as </w:t>
      </w:r>
      <w:r w:rsidRPr="00D06748">
        <w:rPr>
          <w:b/>
          <w:i/>
        </w:rPr>
        <w:t>meritorious</w:t>
      </w:r>
      <w:r>
        <w:t xml:space="preserve">, above .7 as </w:t>
      </w:r>
      <w:r w:rsidRPr="00D06748">
        <w:rPr>
          <w:b/>
          <w:i/>
        </w:rPr>
        <w:t>middling</w:t>
      </w:r>
      <w:r>
        <w:t xml:space="preserve">, above .6 as </w:t>
      </w:r>
      <w:r w:rsidRPr="00D06748">
        <w:rPr>
          <w:b/>
          <w:i/>
        </w:rPr>
        <w:t>mediocre</w:t>
      </w:r>
      <w:r>
        <w:t xml:space="preserve">, above .5 as </w:t>
      </w:r>
      <w:r w:rsidRPr="00D06748">
        <w:rPr>
          <w:b/>
          <w:i/>
        </w:rPr>
        <w:t>miserable</w:t>
      </w:r>
      <w:r>
        <w:t xml:space="preserve">, and below .5 as </w:t>
      </w:r>
      <w:r w:rsidRPr="00D06748">
        <w:rPr>
          <w:b/>
          <w:i/>
        </w:rPr>
        <w:t>unacceptable</w:t>
      </w:r>
      <w:r>
        <w:t>.</w:t>
      </w:r>
    </w:p>
    <w:p w:rsidR="00613EE9" w:rsidRDefault="00613EE9" w:rsidP="000065D6">
      <w:pPr>
        <w:spacing w:before="60" w:after="60"/>
      </w:pPr>
    </w:p>
    <w:p w:rsidR="00D06748" w:rsidRDefault="009B29A8" w:rsidP="000065D6">
      <w:pPr>
        <w:spacing w:before="60" w:after="60"/>
      </w:pPr>
      <w:r>
        <w:t xml:space="preserve">The MSA option in </w:t>
      </w:r>
      <w:r w:rsidRPr="00D06748">
        <w:rPr>
          <w:b/>
          <w:i/>
        </w:rPr>
        <w:t>SAS’ PROC FACTOR</w:t>
      </w:r>
      <w:r w:rsidR="00D06748">
        <w:t xml:space="preserve"> </w:t>
      </w:r>
      <w:r>
        <w:t xml:space="preserve"> gives you a matrix of the partial correlations, the </w:t>
      </w:r>
      <w:r w:rsidRPr="0013727C">
        <w:rPr>
          <w:i/>
        </w:rPr>
        <w:t>MSA</w:t>
      </w:r>
      <w:r>
        <w:t xml:space="preserve"> for each variable, and an overall </w:t>
      </w:r>
      <w:r w:rsidRPr="0013727C">
        <w:rPr>
          <w:i/>
        </w:rPr>
        <w:t>MSA</w:t>
      </w:r>
      <w:r>
        <w:t xml:space="preserve"> computed across all variables. </w:t>
      </w:r>
    </w:p>
    <w:p w:rsidR="00D06748" w:rsidRDefault="00D06748" w:rsidP="000065D6">
      <w:pPr>
        <w:spacing w:before="60" w:after="60"/>
      </w:pPr>
    </w:p>
    <w:p w:rsidR="009B29A8" w:rsidRDefault="009B29A8" w:rsidP="000065D6">
      <w:pPr>
        <w:spacing w:before="60" w:after="60"/>
      </w:pPr>
      <w:r>
        <w:t>Variables with small MSAs should be deleted prior to FA or the data set supplemented with additional relevant variables which one hopes will be correlate</w:t>
      </w:r>
      <w:r w:rsidR="007A209B">
        <w:t>d with the offending variables.</w:t>
      </w:r>
    </w:p>
    <w:p w:rsidR="009B29A8" w:rsidRDefault="009B29A8" w:rsidP="00D06748">
      <w:pPr>
        <w:spacing w:before="60" w:after="60"/>
      </w:pPr>
      <w:r>
        <w:t>For our sample data the partial correlation matrix looks like this:</w:t>
      </w:r>
    </w:p>
    <w:p w:rsidR="00D06748" w:rsidRDefault="00D06748" w:rsidP="000065D6">
      <w:pPr>
        <w:tabs>
          <w:tab w:val="left" w:pos="1350"/>
          <w:tab w:val="left" w:pos="2430"/>
          <w:tab w:val="left" w:pos="3240"/>
          <w:tab w:val="left" w:pos="4320"/>
          <w:tab w:val="left" w:pos="5400"/>
          <w:tab w:val="left" w:pos="6390"/>
          <w:tab w:val="left" w:pos="7380"/>
        </w:tabs>
        <w:spacing w:before="60" w:after="60"/>
        <w:rPr>
          <w:sz w:val="18"/>
        </w:rPr>
      </w:pPr>
    </w:p>
    <w:p w:rsidR="009B29A8" w:rsidRDefault="009B29A8" w:rsidP="000065D6">
      <w:pPr>
        <w:tabs>
          <w:tab w:val="left" w:pos="1350"/>
          <w:tab w:val="left" w:pos="2430"/>
          <w:tab w:val="left" w:pos="3240"/>
          <w:tab w:val="left" w:pos="4320"/>
          <w:tab w:val="left" w:pos="5400"/>
          <w:tab w:val="left" w:pos="6390"/>
          <w:tab w:val="left" w:pos="7380"/>
        </w:tabs>
        <w:spacing w:before="60" w:after="60"/>
        <w:rPr>
          <w:sz w:val="18"/>
        </w:rPr>
      </w:pPr>
      <w:r>
        <w:rPr>
          <w:sz w:val="18"/>
        </w:rPr>
        <w:tab/>
        <w:t>COST</w:t>
      </w:r>
      <w:r>
        <w:rPr>
          <w:sz w:val="18"/>
        </w:rPr>
        <w:tab/>
        <w:t>SIZE</w:t>
      </w:r>
      <w:r>
        <w:rPr>
          <w:sz w:val="18"/>
        </w:rPr>
        <w:tab/>
        <w:t>ALCOHOL</w:t>
      </w:r>
      <w:r>
        <w:rPr>
          <w:sz w:val="18"/>
        </w:rPr>
        <w:tab/>
        <w:t>REPUTAT</w:t>
      </w:r>
      <w:r>
        <w:rPr>
          <w:sz w:val="18"/>
        </w:rPr>
        <w:tab/>
        <w:t>COLOR</w:t>
      </w:r>
      <w:r>
        <w:rPr>
          <w:sz w:val="18"/>
        </w:rPr>
        <w:tab/>
        <w:t>AROMA</w:t>
      </w:r>
      <w:r>
        <w:rPr>
          <w:sz w:val="18"/>
        </w:rPr>
        <w:tab/>
        <w:t>TASTE</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COST</w:t>
      </w:r>
      <w:r>
        <w:tab/>
        <w:t>1.00</w:t>
      </w:r>
      <w:r>
        <w:tab/>
        <w:t>.54</w:t>
      </w:r>
      <w:r>
        <w:tab/>
        <w:t>-.11</w:t>
      </w:r>
      <w:r>
        <w:tab/>
        <w:t>-.26</w:t>
      </w:r>
      <w:r>
        <w:tab/>
        <w:t>-.10</w:t>
      </w:r>
      <w:r>
        <w:tab/>
        <w:t>-.14</w:t>
      </w:r>
      <w:r>
        <w:tab/>
        <w:t>.11</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SIZE</w:t>
      </w:r>
      <w:r>
        <w:tab/>
        <w:t>.54</w:t>
      </w:r>
      <w:r>
        <w:tab/>
        <w:t>1.00</w:t>
      </w:r>
      <w:r>
        <w:tab/>
        <w:t>.81</w:t>
      </w:r>
      <w:r>
        <w:tab/>
        <w:t>.11</w:t>
      </w:r>
      <w:r>
        <w:tab/>
        <w:t>.50</w:t>
      </w:r>
      <w:r>
        <w:tab/>
        <w:t>.06</w:t>
      </w:r>
      <w:r>
        <w:tab/>
        <w:t>-.44</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ALCOHOL</w:t>
      </w:r>
      <w:r>
        <w:tab/>
        <w:t>-.11</w:t>
      </w:r>
      <w:r>
        <w:tab/>
        <w:t>.81</w:t>
      </w:r>
      <w:r>
        <w:tab/>
        <w:t>1.00</w:t>
      </w:r>
      <w:r>
        <w:tab/>
        <w:t>-.23</w:t>
      </w:r>
      <w:r>
        <w:tab/>
        <w:t>-.38</w:t>
      </w:r>
      <w:r>
        <w:tab/>
        <w:t>.06</w:t>
      </w:r>
      <w:r>
        <w:tab/>
        <w:t>.31</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REPUTAT</w:t>
      </w:r>
      <w:r>
        <w:tab/>
        <w:t>-.26</w:t>
      </w:r>
      <w:r>
        <w:tab/>
        <w:t>.11</w:t>
      </w:r>
      <w:r>
        <w:tab/>
        <w:t>-.23</w:t>
      </w:r>
      <w:r>
        <w:tab/>
        <w:t>1.00</w:t>
      </w:r>
      <w:r>
        <w:tab/>
        <w:t>.23</w:t>
      </w:r>
      <w:r>
        <w:tab/>
        <w:t>-.29</w:t>
      </w:r>
      <w:r>
        <w:tab/>
        <w:t>-.26</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COLOR</w:t>
      </w:r>
      <w:r>
        <w:tab/>
        <w:t>-.10</w:t>
      </w:r>
      <w:r>
        <w:tab/>
        <w:t>.50</w:t>
      </w:r>
      <w:r>
        <w:tab/>
        <w:t>-.38</w:t>
      </w:r>
      <w:r>
        <w:tab/>
        <w:t>.23</w:t>
      </w:r>
      <w:r>
        <w:tab/>
        <w:t>1.00</w:t>
      </w:r>
      <w:r>
        <w:tab/>
        <w:t>.57</w:t>
      </w:r>
      <w:r>
        <w:tab/>
        <w:t>.69</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AROMA</w:t>
      </w:r>
      <w:r>
        <w:tab/>
        <w:t>-.14</w:t>
      </w:r>
      <w:r>
        <w:tab/>
        <w:t>.06</w:t>
      </w:r>
      <w:r>
        <w:tab/>
        <w:t>.06</w:t>
      </w:r>
      <w:r>
        <w:tab/>
        <w:t>-.29</w:t>
      </w:r>
      <w:r>
        <w:tab/>
        <w:t>.57</w:t>
      </w:r>
      <w:r>
        <w:tab/>
        <w:t>1.00</w:t>
      </w:r>
      <w:r>
        <w:tab/>
        <w:t>.09</w:t>
      </w:r>
    </w:p>
    <w:p w:rsidR="009B29A8" w:rsidRDefault="009B29A8" w:rsidP="007A209B">
      <w:pPr>
        <w:tabs>
          <w:tab w:val="decimal" w:pos="1440"/>
          <w:tab w:val="decimal" w:pos="2448"/>
          <w:tab w:val="decimal" w:pos="3456"/>
          <w:tab w:val="decimal" w:pos="4464"/>
          <w:tab w:val="decimal" w:pos="5472"/>
          <w:tab w:val="decimal" w:pos="6480"/>
          <w:tab w:val="decimal" w:pos="7488"/>
        </w:tabs>
      </w:pPr>
      <w:r>
        <w:rPr>
          <w:sz w:val="18"/>
        </w:rPr>
        <w:t>TASTE</w:t>
      </w:r>
      <w:r>
        <w:tab/>
        <w:t>.11</w:t>
      </w:r>
      <w:r>
        <w:tab/>
        <w:t>-.44</w:t>
      </w:r>
      <w:r>
        <w:tab/>
        <w:t>.31</w:t>
      </w:r>
      <w:r>
        <w:tab/>
        <w:t>-.26</w:t>
      </w:r>
      <w:r>
        <w:tab/>
        <w:t>.69</w:t>
      </w:r>
      <w:r>
        <w:tab/>
        <w:t>.09</w:t>
      </w:r>
      <w:r>
        <w:tab/>
        <w:t>1.00</w:t>
      </w:r>
    </w:p>
    <w:p w:rsidR="007A209B" w:rsidRDefault="007A209B" w:rsidP="007A209B">
      <w:pPr>
        <w:tabs>
          <w:tab w:val="left" w:leader="underscore" w:pos="7830"/>
        </w:tabs>
      </w:pPr>
      <w:r>
        <w:tab/>
      </w:r>
    </w:p>
    <w:p w:rsidR="009B29A8" w:rsidRDefault="009B29A8" w:rsidP="007A209B">
      <w:pPr>
        <w:tabs>
          <w:tab w:val="decimal" w:pos="1440"/>
          <w:tab w:val="decimal" w:pos="2448"/>
          <w:tab w:val="decimal" w:pos="3456"/>
          <w:tab w:val="decimal" w:pos="4464"/>
          <w:tab w:val="decimal" w:pos="5472"/>
          <w:tab w:val="decimal" w:pos="6480"/>
          <w:tab w:val="decimal" w:pos="7488"/>
        </w:tabs>
        <w:spacing w:after="120"/>
      </w:pPr>
      <w:r>
        <w:t>MSA</w:t>
      </w:r>
      <w:r>
        <w:tab/>
        <w:t>.78</w:t>
      </w:r>
      <w:r>
        <w:tab/>
        <w:t>.55</w:t>
      </w:r>
      <w:r>
        <w:tab/>
        <w:t>.63</w:t>
      </w:r>
      <w:r>
        <w:tab/>
        <w:t>.76</w:t>
      </w:r>
      <w:r>
        <w:tab/>
        <w:t>.59</w:t>
      </w:r>
      <w:r>
        <w:tab/>
        <w:t>.80</w:t>
      </w:r>
      <w:r>
        <w:tab/>
        <w:t>.68</w:t>
      </w:r>
    </w:p>
    <w:p w:rsidR="009B29A8" w:rsidRDefault="009B29A8" w:rsidP="000065D6">
      <w:pPr>
        <w:spacing w:before="60" w:after="60"/>
        <w:jc w:val="center"/>
      </w:pPr>
      <w:r>
        <w:t>OVERALL MSA = .67</w:t>
      </w:r>
    </w:p>
    <w:p w:rsidR="009B29A8" w:rsidRDefault="009B29A8" w:rsidP="000065D6">
      <w:pPr>
        <w:spacing w:before="60" w:after="60"/>
      </w:pPr>
      <w:r>
        <w:t xml:space="preserve">These </w:t>
      </w:r>
      <w:r w:rsidRPr="0013727C">
        <w:rPr>
          <w:i/>
        </w:rPr>
        <w:t>MSA’s</w:t>
      </w:r>
      <w:r>
        <w:t xml:space="preserve"> may not be marvelous, but they aren’t low enough to make me drop any variables (</w:t>
      </w:r>
      <w:r w:rsidR="00D06748">
        <w:t xml:space="preserve">moreso as there is only 7 variables, </w:t>
      </w:r>
      <w:r>
        <w:t xml:space="preserve"> already an unrealistically low number).</w:t>
      </w:r>
    </w:p>
    <w:p w:rsidR="00D06748" w:rsidRDefault="00D06748" w:rsidP="003B7D99">
      <w:pPr>
        <w:spacing w:before="60" w:after="60"/>
      </w:pPr>
    </w:p>
    <w:p w:rsidR="009B29A8" w:rsidRDefault="003B7D99" w:rsidP="003B7D99">
      <w:pPr>
        <w:spacing w:before="60" w:after="60"/>
      </w:pPr>
      <w:r>
        <w:lastRenderedPageBreak/>
        <w:t xml:space="preserve">The </w:t>
      </w:r>
      <w:r w:rsidR="00430775">
        <w:t>SPSS</w:t>
      </w:r>
      <w:r>
        <w:t xml:space="preserve"> output </w:t>
      </w:r>
      <w:r w:rsidR="00F34AD3">
        <w:t xml:space="preserve">includes the overall </w:t>
      </w:r>
      <w:r w:rsidR="00F34AD3" w:rsidRPr="0013727C">
        <w:rPr>
          <w:i/>
        </w:rPr>
        <w:t>MSA</w:t>
      </w:r>
      <w:r w:rsidR="00F34AD3">
        <w:t xml:space="preserve"> in the same table as the </w:t>
      </w:r>
      <w:r w:rsidR="00D06748">
        <w:t>less useful</w:t>
      </w:r>
      <w:r w:rsidR="00F34AD3">
        <w:t xml:space="preserve"> Bartlett’s test of sphericity.</w:t>
      </w:r>
    </w:p>
    <w:p w:rsidR="003B7D99" w:rsidRDefault="00D30632" w:rsidP="003B7D99">
      <w:pPr>
        <w:autoSpaceDE w:val="0"/>
        <w:autoSpaceDN w:val="0"/>
        <w:adjustRightInd w:val="0"/>
        <w:rPr>
          <w:rFonts w:ascii="System" w:hAnsi="System" w:cs="System"/>
          <w:b/>
          <w:bCs/>
          <w:sz w:val="20"/>
        </w:rPr>
      </w:pPr>
      <w:r>
        <w:rPr>
          <w:rFonts w:ascii="System" w:hAnsi="System" w:cs="System"/>
          <w:b/>
          <w:bCs/>
          <w:noProof/>
          <w:sz w:val="20"/>
          <w:lang w:val="en-IE" w:eastAsia="en-IE"/>
        </w:rPr>
        <w:drawing>
          <wp:inline distT="0" distB="0" distL="0" distR="0">
            <wp:extent cx="392303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3030" cy="1742440"/>
                    </a:xfrm>
                    <a:prstGeom prst="rect">
                      <a:avLst/>
                    </a:prstGeom>
                    <a:noFill/>
                    <a:ln>
                      <a:noFill/>
                    </a:ln>
                  </pic:spPr>
                </pic:pic>
              </a:graphicData>
            </a:graphic>
          </wp:inline>
        </w:drawing>
      </w:r>
    </w:p>
    <w:p w:rsidR="00F34AD3" w:rsidRDefault="00F34AD3" w:rsidP="003B7D99">
      <w:pPr>
        <w:autoSpaceDE w:val="0"/>
        <w:autoSpaceDN w:val="0"/>
        <w:adjustRightInd w:val="0"/>
        <w:rPr>
          <w:rFonts w:ascii="System" w:hAnsi="System" w:cs="System"/>
          <w:b/>
          <w:bCs/>
          <w:sz w:val="20"/>
        </w:rPr>
      </w:pPr>
    </w:p>
    <w:p w:rsidR="00F34AD3" w:rsidRDefault="00F34AD3" w:rsidP="003B7D99">
      <w:pPr>
        <w:autoSpaceDE w:val="0"/>
        <w:autoSpaceDN w:val="0"/>
        <w:adjustRightInd w:val="0"/>
        <w:rPr>
          <w:rFonts w:cs="Arial"/>
          <w:bCs/>
          <w:szCs w:val="24"/>
        </w:rPr>
      </w:pPr>
      <w:r w:rsidRPr="00F34AD3">
        <w:rPr>
          <w:rFonts w:cs="Arial"/>
          <w:bCs/>
          <w:szCs w:val="24"/>
        </w:rPr>
        <w:t>The partial correlations (each multipli</w:t>
      </w:r>
      <w:r>
        <w:rPr>
          <w:rFonts w:cs="Arial"/>
          <w:bCs/>
          <w:szCs w:val="24"/>
        </w:rPr>
        <w:t xml:space="preserve">ed by minus 1) are found in the Anti-Image Correlation Matrix.  On the main diagonal of this matrix are the </w:t>
      </w:r>
      <w:r w:rsidRPr="0013727C">
        <w:rPr>
          <w:rFonts w:cs="Arial"/>
          <w:bCs/>
          <w:i/>
          <w:szCs w:val="24"/>
        </w:rPr>
        <w:t>MSAs</w:t>
      </w:r>
      <w:r>
        <w:rPr>
          <w:rFonts w:cs="Arial"/>
          <w:bCs/>
          <w:szCs w:val="24"/>
        </w:rPr>
        <w:t xml:space="preserve"> for the individual variables.</w:t>
      </w:r>
    </w:p>
    <w:p w:rsidR="00F34AD3" w:rsidRPr="00F34AD3" w:rsidRDefault="00F34AD3" w:rsidP="00F34AD3">
      <w:pPr>
        <w:autoSpaceDE w:val="0"/>
        <w:autoSpaceDN w:val="0"/>
        <w:adjustRightInd w:val="0"/>
        <w:rPr>
          <w:rFonts w:ascii="Times New Roman" w:hAnsi="Times New Roman"/>
          <w:szCs w:val="24"/>
        </w:rPr>
      </w:pPr>
    </w:p>
    <w:tbl>
      <w:tblPr>
        <w:tblW w:w="88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80"/>
        <w:gridCol w:w="810"/>
        <w:gridCol w:w="990"/>
        <w:gridCol w:w="900"/>
        <w:gridCol w:w="1080"/>
        <w:gridCol w:w="1080"/>
        <w:gridCol w:w="1080"/>
        <w:gridCol w:w="900"/>
        <w:gridCol w:w="900"/>
      </w:tblGrid>
      <w:tr w:rsidR="00F34AD3" w:rsidRPr="00F34AD3" w:rsidTr="00DC46FA">
        <w:trPr>
          <w:cantSplit/>
          <w:tblHeader/>
        </w:trPr>
        <w:tc>
          <w:tcPr>
            <w:tcW w:w="8820" w:type="dxa"/>
            <w:gridSpan w:val="9"/>
            <w:tcBorders>
              <w:top w:val="nil"/>
              <w:left w:val="nil"/>
              <w:bottom w:val="nil"/>
              <w:right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b/>
                <w:bCs/>
                <w:color w:val="000000"/>
                <w:sz w:val="18"/>
                <w:szCs w:val="18"/>
              </w:rPr>
              <w:t>Anti-image Matrices</w:t>
            </w:r>
          </w:p>
        </w:tc>
      </w:tr>
      <w:tr w:rsidR="00DC46FA" w:rsidRPr="00F34AD3" w:rsidTr="00DC46FA">
        <w:trPr>
          <w:cantSplit/>
          <w:tblHeader/>
        </w:trPr>
        <w:tc>
          <w:tcPr>
            <w:tcW w:w="108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ascii="Times New Roman" w:hAnsi="Times New Roman"/>
                <w:szCs w:val="24"/>
              </w:rPr>
            </w:pPr>
          </w:p>
        </w:tc>
        <w:tc>
          <w:tcPr>
            <w:tcW w:w="81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ascii="Times New Roman" w:hAnsi="Times New Roman"/>
                <w:szCs w:val="24"/>
              </w:rPr>
            </w:pPr>
          </w:p>
        </w:tc>
        <w:tc>
          <w:tcPr>
            <w:tcW w:w="990" w:type="dxa"/>
            <w:tcBorders>
              <w:top w:val="single" w:sz="16" w:space="0" w:color="000000"/>
              <w:left w:val="single" w:sz="16" w:space="0" w:color="000000"/>
              <w:bottom w:val="single" w:sz="18"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cost</w:t>
            </w:r>
          </w:p>
        </w:tc>
        <w:tc>
          <w:tcPr>
            <w:tcW w:w="9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size</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alcohol</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reputat</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color</w:t>
            </w:r>
          </w:p>
        </w:tc>
        <w:tc>
          <w:tcPr>
            <w:tcW w:w="9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aroma</w:t>
            </w:r>
          </w:p>
        </w:tc>
        <w:tc>
          <w:tcPr>
            <w:tcW w:w="9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34AD3" w:rsidRPr="00F34AD3" w:rsidRDefault="00F34AD3" w:rsidP="00F34AD3">
            <w:pPr>
              <w:autoSpaceDE w:val="0"/>
              <w:autoSpaceDN w:val="0"/>
              <w:adjustRightInd w:val="0"/>
              <w:spacing w:line="320" w:lineRule="atLeast"/>
              <w:jc w:val="center"/>
              <w:rPr>
                <w:rFonts w:cs="Arial"/>
                <w:color w:val="000000"/>
                <w:sz w:val="18"/>
                <w:szCs w:val="18"/>
              </w:rPr>
            </w:pPr>
            <w:r w:rsidRPr="00F34AD3">
              <w:rPr>
                <w:rFonts w:cs="Arial"/>
                <w:color w:val="000000"/>
                <w:sz w:val="18"/>
                <w:szCs w:val="18"/>
              </w:rPr>
              <w:t>taste</w:t>
            </w:r>
          </w:p>
        </w:tc>
      </w:tr>
      <w:tr w:rsidR="00DC46FA" w:rsidRPr="00F34AD3" w:rsidTr="00DC46FA">
        <w:trPr>
          <w:cantSplit/>
          <w:tblHeader/>
        </w:trPr>
        <w:tc>
          <w:tcPr>
            <w:tcW w:w="1080"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DC46FA"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Anti-image</w:t>
            </w:r>
          </w:p>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Correlation</w:t>
            </w:r>
          </w:p>
        </w:tc>
        <w:tc>
          <w:tcPr>
            <w:tcW w:w="810" w:type="dxa"/>
            <w:tcBorders>
              <w:left w:val="nil"/>
              <w:bottom w:val="nil"/>
              <w:right w:val="single" w:sz="18"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cost</w:t>
            </w:r>
          </w:p>
        </w:tc>
        <w:tc>
          <w:tcPr>
            <w:tcW w:w="990" w:type="dxa"/>
            <w:tcBorders>
              <w:top w:val="single" w:sz="18" w:space="0" w:color="000000"/>
              <w:left w:val="single" w:sz="18" w:space="0" w:color="000000"/>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.779</w:t>
            </w:r>
            <w:r w:rsidRPr="00F34AD3">
              <w:rPr>
                <w:rFonts w:cs="Arial"/>
                <w:color w:val="000000"/>
                <w:sz w:val="18"/>
                <w:szCs w:val="18"/>
                <w:vertAlign w:val="superscript"/>
              </w:rPr>
              <w:t>a</w:t>
            </w:r>
          </w:p>
        </w:tc>
        <w:tc>
          <w:tcPr>
            <w:tcW w:w="900" w:type="dxa"/>
            <w:tcBorders>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-.543</w:t>
            </w:r>
          </w:p>
        </w:tc>
        <w:tc>
          <w:tcPr>
            <w:tcW w:w="1080" w:type="dxa"/>
            <w:tcBorders>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.105</w:t>
            </w:r>
          </w:p>
        </w:tc>
        <w:tc>
          <w:tcPr>
            <w:tcW w:w="1080" w:type="dxa"/>
            <w:tcBorders>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.256</w:t>
            </w:r>
          </w:p>
        </w:tc>
        <w:tc>
          <w:tcPr>
            <w:tcW w:w="1080" w:type="dxa"/>
            <w:tcBorders>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.100</w:t>
            </w:r>
          </w:p>
        </w:tc>
        <w:tc>
          <w:tcPr>
            <w:tcW w:w="900" w:type="dxa"/>
            <w:tcBorders>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.135</w:t>
            </w:r>
          </w:p>
        </w:tc>
        <w:tc>
          <w:tcPr>
            <w:tcW w:w="900" w:type="dxa"/>
            <w:tcBorders>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-.105</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nil"/>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size</w:t>
            </w:r>
          </w:p>
        </w:tc>
        <w:tc>
          <w:tcPr>
            <w:tcW w:w="990" w:type="dxa"/>
            <w:tcBorders>
              <w:top w:val="nil"/>
              <w:left w:val="single" w:sz="16" w:space="0" w:color="000000"/>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-.543</w:t>
            </w:r>
          </w:p>
        </w:tc>
        <w:tc>
          <w:tcPr>
            <w:tcW w:w="900" w:type="dxa"/>
            <w:tcBorders>
              <w:top w:val="nil"/>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.550</w:t>
            </w:r>
            <w:r w:rsidRPr="00F34AD3">
              <w:rPr>
                <w:rFonts w:cs="Arial"/>
                <w:color w:val="000000"/>
                <w:sz w:val="18"/>
                <w:szCs w:val="18"/>
                <w:vertAlign w:val="superscript"/>
              </w:rPr>
              <w:t>a</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-.806</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-.109</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-.495</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.061</w:t>
            </w:r>
          </w:p>
        </w:tc>
        <w:tc>
          <w:tcPr>
            <w:tcW w:w="900" w:type="dxa"/>
            <w:tcBorders>
              <w:top w:val="nil"/>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.435</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nil"/>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alcohol</w:t>
            </w:r>
          </w:p>
        </w:tc>
        <w:tc>
          <w:tcPr>
            <w:tcW w:w="990" w:type="dxa"/>
            <w:tcBorders>
              <w:top w:val="nil"/>
              <w:left w:val="single" w:sz="16" w:space="0" w:color="000000"/>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.105</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-.806</w:t>
            </w:r>
          </w:p>
        </w:tc>
        <w:tc>
          <w:tcPr>
            <w:tcW w:w="1080" w:type="dxa"/>
            <w:tcBorders>
              <w:top w:val="nil"/>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.630</w:t>
            </w:r>
            <w:r w:rsidRPr="00F34AD3">
              <w:rPr>
                <w:rFonts w:cs="Arial"/>
                <w:color w:val="000000"/>
                <w:sz w:val="18"/>
                <w:szCs w:val="18"/>
                <w:vertAlign w:val="superscript"/>
              </w:rPr>
              <w:t>a</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.226</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.381</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-.060</w:t>
            </w:r>
          </w:p>
        </w:tc>
        <w:tc>
          <w:tcPr>
            <w:tcW w:w="900" w:type="dxa"/>
            <w:tcBorders>
              <w:top w:val="nil"/>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-.310</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nil"/>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reputat</w:t>
            </w:r>
          </w:p>
        </w:tc>
        <w:tc>
          <w:tcPr>
            <w:tcW w:w="990" w:type="dxa"/>
            <w:tcBorders>
              <w:top w:val="nil"/>
              <w:left w:val="single" w:sz="16" w:space="0" w:color="000000"/>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.256</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-.109</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.226</w:t>
            </w:r>
          </w:p>
        </w:tc>
        <w:tc>
          <w:tcPr>
            <w:tcW w:w="1080" w:type="dxa"/>
            <w:tcBorders>
              <w:top w:val="nil"/>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.763</w:t>
            </w:r>
            <w:r w:rsidRPr="00F34AD3">
              <w:rPr>
                <w:rFonts w:cs="Arial"/>
                <w:color w:val="000000"/>
                <w:sz w:val="18"/>
                <w:szCs w:val="18"/>
                <w:vertAlign w:val="superscript"/>
              </w:rPr>
              <w:t>a</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-.231</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.287</w:t>
            </w:r>
          </w:p>
        </w:tc>
        <w:tc>
          <w:tcPr>
            <w:tcW w:w="900" w:type="dxa"/>
            <w:tcBorders>
              <w:top w:val="nil"/>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.257</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nil"/>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color</w:t>
            </w:r>
          </w:p>
        </w:tc>
        <w:tc>
          <w:tcPr>
            <w:tcW w:w="990" w:type="dxa"/>
            <w:tcBorders>
              <w:top w:val="nil"/>
              <w:left w:val="single" w:sz="16" w:space="0" w:color="000000"/>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.100</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-.495</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.381</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-.231</w:t>
            </w:r>
          </w:p>
        </w:tc>
        <w:tc>
          <w:tcPr>
            <w:tcW w:w="1080" w:type="dxa"/>
            <w:tcBorders>
              <w:top w:val="nil"/>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.590</w:t>
            </w:r>
            <w:r w:rsidRPr="00F34AD3">
              <w:rPr>
                <w:rFonts w:cs="Arial"/>
                <w:color w:val="000000"/>
                <w:sz w:val="18"/>
                <w:szCs w:val="18"/>
                <w:vertAlign w:val="superscript"/>
              </w:rPr>
              <w:t>a</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-.574</w:t>
            </w:r>
          </w:p>
        </w:tc>
        <w:tc>
          <w:tcPr>
            <w:tcW w:w="900" w:type="dxa"/>
            <w:tcBorders>
              <w:top w:val="nil"/>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-.693</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nil"/>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aroma</w:t>
            </w:r>
          </w:p>
        </w:tc>
        <w:tc>
          <w:tcPr>
            <w:tcW w:w="990" w:type="dxa"/>
            <w:tcBorders>
              <w:top w:val="nil"/>
              <w:left w:val="single" w:sz="16" w:space="0" w:color="000000"/>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.135</w:t>
            </w:r>
          </w:p>
        </w:tc>
        <w:tc>
          <w:tcPr>
            <w:tcW w:w="90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.061</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-.060</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.287</w:t>
            </w:r>
          </w:p>
        </w:tc>
        <w:tc>
          <w:tcPr>
            <w:tcW w:w="1080" w:type="dxa"/>
            <w:tcBorders>
              <w:top w:val="nil"/>
              <w:bottom w:val="nil"/>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-.574</w:t>
            </w:r>
          </w:p>
        </w:tc>
        <w:tc>
          <w:tcPr>
            <w:tcW w:w="900" w:type="dxa"/>
            <w:tcBorders>
              <w:top w:val="nil"/>
              <w:bottom w:val="nil"/>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.801</w:t>
            </w:r>
            <w:r w:rsidRPr="00F34AD3">
              <w:rPr>
                <w:rFonts w:cs="Arial"/>
                <w:color w:val="000000"/>
                <w:sz w:val="18"/>
                <w:szCs w:val="18"/>
                <w:vertAlign w:val="superscript"/>
              </w:rPr>
              <w:t>a</w:t>
            </w:r>
          </w:p>
        </w:tc>
        <w:tc>
          <w:tcPr>
            <w:tcW w:w="900" w:type="dxa"/>
            <w:tcBorders>
              <w:top w:val="nil"/>
              <w:bottom w:val="nil"/>
              <w:right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-.087</w:t>
            </w:r>
          </w:p>
        </w:tc>
      </w:tr>
      <w:tr w:rsidR="00DC46FA" w:rsidRPr="00F34AD3" w:rsidTr="00DC46FA">
        <w:trPr>
          <w:cantSplit/>
          <w:tblHeader/>
        </w:trPr>
        <w:tc>
          <w:tcPr>
            <w:tcW w:w="1080"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rPr>
                <w:rFonts w:cs="Arial"/>
                <w:color w:val="000000"/>
                <w:sz w:val="18"/>
                <w:szCs w:val="18"/>
              </w:rPr>
            </w:pPr>
          </w:p>
        </w:tc>
        <w:tc>
          <w:tcPr>
            <w:tcW w:w="81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34AD3" w:rsidRPr="00F34AD3" w:rsidRDefault="00F34AD3"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taste</w:t>
            </w:r>
          </w:p>
        </w:tc>
        <w:tc>
          <w:tcPr>
            <w:tcW w:w="99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-.105</w:t>
            </w:r>
          </w:p>
        </w:tc>
        <w:tc>
          <w:tcPr>
            <w:tcW w:w="900" w:type="dxa"/>
            <w:tcBorders>
              <w:top w:val="nil"/>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.435</w:t>
            </w:r>
          </w:p>
        </w:tc>
        <w:tc>
          <w:tcPr>
            <w:tcW w:w="1080" w:type="dxa"/>
            <w:tcBorders>
              <w:top w:val="nil"/>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-.310</w:t>
            </w:r>
          </w:p>
        </w:tc>
        <w:tc>
          <w:tcPr>
            <w:tcW w:w="1080" w:type="dxa"/>
            <w:tcBorders>
              <w:top w:val="nil"/>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.257</w:t>
            </w:r>
          </w:p>
        </w:tc>
        <w:tc>
          <w:tcPr>
            <w:tcW w:w="1080" w:type="dxa"/>
            <w:tcBorders>
              <w:top w:val="nil"/>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-.693</w:t>
            </w:r>
          </w:p>
        </w:tc>
        <w:tc>
          <w:tcPr>
            <w:tcW w:w="900" w:type="dxa"/>
            <w:tcBorders>
              <w:top w:val="nil"/>
              <w:bottom w:val="single" w:sz="16" w:space="0" w:color="000000"/>
            </w:tcBorders>
            <w:shd w:val="clear" w:color="auto" w:fill="FFFFFF"/>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-.087</w:t>
            </w:r>
          </w:p>
        </w:tc>
        <w:tc>
          <w:tcPr>
            <w:tcW w:w="900" w:type="dxa"/>
            <w:tcBorders>
              <w:top w:val="nil"/>
              <w:bottom w:val="single" w:sz="18" w:space="0" w:color="000000"/>
              <w:right w:val="single" w:sz="18" w:space="0" w:color="000000"/>
            </w:tcBorders>
            <w:shd w:val="clear" w:color="auto" w:fill="FFFF99"/>
            <w:tcMar>
              <w:top w:w="30" w:type="dxa"/>
              <w:left w:w="30" w:type="dxa"/>
              <w:bottom w:w="30" w:type="dxa"/>
              <w:right w:w="30" w:type="dxa"/>
            </w:tcMar>
            <w:vAlign w:val="center"/>
          </w:tcPr>
          <w:p w:rsidR="00F34AD3" w:rsidRPr="00F34AD3" w:rsidRDefault="00F34AD3" w:rsidP="00F34AD3">
            <w:pPr>
              <w:autoSpaceDE w:val="0"/>
              <w:autoSpaceDN w:val="0"/>
              <w:adjustRightInd w:val="0"/>
              <w:spacing w:line="320" w:lineRule="atLeast"/>
              <w:jc w:val="right"/>
              <w:rPr>
                <w:rFonts w:cs="Arial"/>
                <w:color w:val="000000"/>
                <w:sz w:val="18"/>
                <w:szCs w:val="18"/>
              </w:rPr>
            </w:pPr>
            <w:r w:rsidRPr="00F34AD3">
              <w:rPr>
                <w:rFonts w:cs="Arial"/>
                <w:color w:val="000000"/>
                <w:sz w:val="18"/>
                <w:szCs w:val="18"/>
              </w:rPr>
              <w:t>.676</w:t>
            </w:r>
            <w:r w:rsidRPr="00F34AD3">
              <w:rPr>
                <w:rFonts w:cs="Arial"/>
                <w:color w:val="000000"/>
                <w:sz w:val="18"/>
                <w:szCs w:val="18"/>
                <w:vertAlign w:val="superscript"/>
              </w:rPr>
              <w:t>a</w:t>
            </w:r>
          </w:p>
        </w:tc>
      </w:tr>
      <w:tr w:rsidR="00DC46FA" w:rsidRPr="00F34AD3" w:rsidTr="00DC46FA">
        <w:trPr>
          <w:gridAfter w:val="5"/>
          <w:wAfter w:w="5040" w:type="dxa"/>
          <w:cantSplit/>
        </w:trPr>
        <w:tc>
          <w:tcPr>
            <w:tcW w:w="3780" w:type="dxa"/>
            <w:gridSpan w:val="4"/>
            <w:tcBorders>
              <w:top w:val="nil"/>
              <w:left w:val="nil"/>
              <w:bottom w:val="nil"/>
              <w:right w:val="nil"/>
            </w:tcBorders>
            <w:shd w:val="clear" w:color="auto" w:fill="FFFFFF"/>
            <w:tcMar>
              <w:top w:w="30" w:type="dxa"/>
              <w:left w:w="30" w:type="dxa"/>
              <w:bottom w:w="30" w:type="dxa"/>
              <w:right w:w="30" w:type="dxa"/>
            </w:tcMar>
          </w:tcPr>
          <w:p w:rsidR="00DC46FA" w:rsidRPr="00F34AD3" w:rsidRDefault="00DC46FA" w:rsidP="00F34AD3">
            <w:pPr>
              <w:autoSpaceDE w:val="0"/>
              <w:autoSpaceDN w:val="0"/>
              <w:adjustRightInd w:val="0"/>
              <w:spacing w:line="320" w:lineRule="atLeast"/>
              <w:rPr>
                <w:rFonts w:cs="Arial"/>
                <w:color w:val="000000"/>
                <w:sz w:val="18"/>
                <w:szCs w:val="18"/>
              </w:rPr>
            </w:pPr>
            <w:r w:rsidRPr="00F34AD3">
              <w:rPr>
                <w:rFonts w:cs="Arial"/>
                <w:color w:val="000000"/>
                <w:sz w:val="18"/>
                <w:szCs w:val="18"/>
              </w:rPr>
              <w:t>a. Measures of Sampling Adequacy(MSA)</w:t>
            </w:r>
          </w:p>
        </w:tc>
      </w:tr>
    </w:tbl>
    <w:p w:rsidR="009B29A8" w:rsidRPr="00D06748" w:rsidRDefault="009B29A8" w:rsidP="003B7D99">
      <w:pPr>
        <w:spacing w:before="60" w:after="60"/>
      </w:pPr>
    </w:p>
    <w:p w:rsidR="00D06748" w:rsidRDefault="00D06748">
      <w:pPr>
        <w:rPr>
          <w:b/>
          <w:sz w:val="28"/>
          <w:szCs w:val="28"/>
        </w:rPr>
      </w:pPr>
      <w:r>
        <w:rPr>
          <w:b/>
          <w:sz w:val="28"/>
          <w:szCs w:val="28"/>
        </w:rPr>
        <w:br w:type="page"/>
      </w:r>
    </w:p>
    <w:p w:rsidR="009B29A8" w:rsidRPr="00D06748" w:rsidRDefault="009B29A8" w:rsidP="00D06748">
      <w:pPr>
        <w:spacing w:before="60" w:after="60"/>
        <w:rPr>
          <w:b/>
          <w:sz w:val="28"/>
          <w:szCs w:val="28"/>
        </w:rPr>
      </w:pPr>
      <w:r w:rsidRPr="00D06748">
        <w:rPr>
          <w:b/>
          <w:sz w:val="28"/>
          <w:szCs w:val="28"/>
        </w:rPr>
        <w:lastRenderedPageBreak/>
        <w:t>Extracting Principal Components</w:t>
      </w:r>
    </w:p>
    <w:p w:rsidR="00D06748" w:rsidRDefault="009B29A8" w:rsidP="000065D6">
      <w:pPr>
        <w:spacing w:before="60" w:after="60"/>
      </w:pPr>
      <w:r>
        <w:tab/>
      </w:r>
    </w:p>
    <w:p w:rsidR="009B29A8" w:rsidRDefault="009B29A8" w:rsidP="000065D6">
      <w:pPr>
        <w:spacing w:before="60" w:after="60"/>
      </w:pPr>
      <w:r>
        <w:t xml:space="preserve">We are now ready to extract principal components.  We shall let the computer do most of the work, which is considerable.  From </w:t>
      </w:r>
      <w:r>
        <w:rPr>
          <w:i/>
        </w:rPr>
        <w:t>p</w:t>
      </w:r>
      <w:r>
        <w:t xml:space="preserve"> variables we can extract </w:t>
      </w:r>
      <w:r>
        <w:rPr>
          <w:i/>
        </w:rPr>
        <w:t>p</w:t>
      </w:r>
      <w:r>
        <w:t xml:space="preserve"> components.  This will involve solving </w:t>
      </w:r>
      <w:r>
        <w:rPr>
          <w:i/>
        </w:rPr>
        <w:t>p</w:t>
      </w:r>
      <w:r>
        <w:t xml:space="preserve"> equations with </w:t>
      </w:r>
      <w:r>
        <w:rPr>
          <w:i/>
        </w:rPr>
        <w:t>p</w:t>
      </w:r>
      <w:r>
        <w:t xml:space="preserve"> unknowns.  The variance in the correlation matrix is “repackaged” into </w:t>
      </w:r>
      <w:r>
        <w:rPr>
          <w:i/>
        </w:rPr>
        <w:t>p</w:t>
      </w:r>
      <w:r>
        <w:t xml:space="preserve"> eigenvalues.  Each </w:t>
      </w:r>
      <w:r>
        <w:rPr>
          <w:b/>
        </w:rPr>
        <w:t>eigenvalue</w:t>
      </w:r>
      <w:r>
        <w:t xml:space="preserve"> represents the amount of variance that has been captured by one component.</w:t>
      </w:r>
    </w:p>
    <w:p w:rsidR="00D06748" w:rsidRDefault="009B29A8" w:rsidP="000065D6">
      <w:pPr>
        <w:spacing w:before="60" w:after="60"/>
      </w:pPr>
      <w:r>
        <w:tab/>
      </w:r>
    </w:p>
    <w:p w:rsidR="009B29A8" w:rsidRDefault="009B29A8" w:rsidP="000065D6">
      <w:pPr>
        <w:spacing w:before="60" w:after="60"/>
      </w:pPr>
      <w:r>
        <w:t xml:space="preserve">Each component is a linear combination of the </w:t>
      </w:r>
      <w:r>
        <w:rPr>
          <w:i/>
        </w:rPr>
        <w:t>p</w:t>
      </w:r>
      <w:r>
        <w:t xml:space="preserve"> variables. The first component accounts for the largest possible amount of variance.  The second component, formed from the variance remaining after that associated with the first component has been extracted, accounts for the second largest amount of variance, etc.  The principal components are extracted with the restriction that they are orthogonal.  Geometrically they may be viewed as dimensions in </w:t>
      </w:r>
      <w:r>
        <w:rPr>
          <w:i/>
        </w:rPr>
        <w:t>p</w:t>
      </w:r>
      <w:r>
        <w:t>-dimensional space where each dimension is perpendicular to each other dimension.</w:t>
      </w:r>
    </w:p>
    <w:p w:rsidR="00D06748" w:rsidRDefault="009B29A8" w:rsidP="000065D6">
      <w:pPr>
        <w:spacing w:before="60" w:after="60"/>
      </w:pPr>
      <w:r>
        <w:tab/>
      </w:r>
    </w:p>
    <w:p w:rsidR="009B29A8" w:rsidRDefault="009B29A8" w:rsidP="000065D6">
      <w:pPr>
        <w:spacing w:before="60" w:after="60"/>
      </w:pPr>
      <w:r>
        <w:t xml:space="preserve">Each of the </w:t>
      </w:r>
      <w:r>
        <w:rPr>
          <w:i/>
        </w:rPr>
        <w:t>p</w:t>
      </w:r>
      <w:r>
        <w:t xml:space="preserve"> variable’s variance is standardized to one. Each factor’s eigenvalue may be compared to 1 to see how much more (or less) variance it represents than does a single variable. With </w:t>
      </w:r>
      <w:r>
        <w:rPr>
          <w:i/>
        </w:rPr>
        <w:t>p</w:t>
      </w:r>
      <w:r>
        <w:t xml:space="preserve"> variables there is </w:t>
      </w:r>
      <w:r>
        <w:rPr>
          <w:i/>
        </w:rPr>
        <w:t>p</w:t>
      </w:r>
      <w:r>
        <w:t xml:space="preserve"> x 1 = </w:t>
      </w:r>
      <w:r>
        <w:rPr>
          <w:i/>
        </w:rPr>
        <w:t>p</w:t>
      </w:r>
      <w:r>
        <w:t xml:space="preserve"> variance to distribute.  The principal components extraction will produce </w:t>
      </w:r>
      <w:r>
        <w:rPr>
          <w:i/>
        </w:rPr>
        <w:t>p</w:t>
      </w:r>
      <w:r>
        <w:t xml:space="preserve"> components which in the aggregate account for all of the variance in the </w:t>
      </w:r>
      <w:r>
        <w:rPr>
          <w:i/>
        </w:rPr>
        <w:t xml:space="preserve">p </w:t>
      </w:r>
      <w:r>
        <w:t xml:space="preserve">variables.  That is, the sum of the </w:t>
      </w:r>
      <w:r>
        <w:rPr>
          <w:i/>
        </w:rPr>
        <w:t>p</w:t>
      </w:r>
      <w:r>
        <w:t xml:space="preserve"> eigenvalues will be equal to </w:t>
      </w:r>
      <w:r>
        <w:rPr>
          <w:i/>
        </w:rPr>
        <w:t>p</w:t>
      </w:r>
      <w:r>
        <w:t xml:space="preserve">, the number of variables.  The proportion of variance accounted for by one component equals its eigenvalue divided by </w:t>
      </w:r>
      <w:r>
        <w:rPr>
          <w:i/>
        </w:rPr>
        <w:t>p</w:t>
      </w:r>
      <w:r>
        <w:t>.</w:t>
      </w:r>
    </w:p>
    <w:p w:rsidR="00D06748" w:rsidRDefault="009B29A8" w:rsidP="000065D6">
      <w:pPr>
        <w:spacing w:before="60" w:after="60"/>
      </w:pPr>
      <w:r>
        <w:tab/>
      </w:r>
    </w:p>
    <w:p w:rsidR="009B29A8" w:rsidRDefault="009B29A8" w:rsidP="000065D6">
      <w:pPr>
        <w:spacing w:before="60" w:after="60"/>
      </w:pPr>
      <w:r>
        <w:t>For our beer data, here are the eigenvalues and proportions of variance for the seven components:</w:t>
      </w:r>
    </w:p>
    <w:p w:rsidR="00977FF0" w:rsidRDefault="00D30632" w:rsidP="00977FF0">
      <w:pPr>
        <w:autoSpaceDE w:val="0"/>
        <w:autoSpaceDN w:val="0"/>
        <w:adjustRightInd w:val="0"/>
        <w:rPr>
          <w:rFonts w:ascii="System" w:hAnsi="System" w:cs="System"/>
          <w:b/>
          <w:bCs/>
          <w:sz w:val="20"/>
        </w:rPr>
      </w:pPr>
      <w:r>
        <w:rPr>
          <w:rFonts w:ascii="System" w:hAnsi="System" w:cs="System"/>
          <w:b/>
          <w:bCs/>
          <w:noProof/>
          <w:sz w:val="20"/>
          <w:lang w:val="en-IE" w:eastAsia="en-IE"/>
        </w:rPr>
        <w:drawing>
          <wp:inline distT="0" distB="0" distL="0" distR="0">
            <wp:extent cx="355854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8540" cy="2514600"/>
                    </a:xfrm>
                    <a:prstGeom prst="rect">
                      <a:avLst/>
                    </a:prstGeom>
                    <a:noFill/>
                    <a:ln>
                      <a:noFill/>
                    </a:ln>
                  </pic:spPr>
                </pic:pic>
              </a:graphicData>
            </a:graphic>
          </wp:inline>
        </w:drawing>
      </w:r>
    </w:p>
    <w:p w:rsidR="00D06748" w:rsidRDefault="00D06748" w:rsidP="00D06748">
      <w:pPr>
        <w:spacing w:before="60" w:after="60"/>
      </w:pPr>
    </w:p>
    <w:p w:rsidR="00D06748" w:rsidRDefault="00D06748" w:rsidP="00D06748">
      <w:pPr>
        <w:spacing w:before="60" w:after="60"/>
      </w:pPr>
    </w:p>
    <w:p w:rsidR="00D06748" w:rsidRDefault="00D06748" w:rsidP="00D06748">
      <w:pPr>
        <w:spacing w:before="60" w:after="60"/>
      </w:pPr>
    </w:p>
    <w:p w:rsidR="00D06748" w:rsidRDefault="00D06748" w:rsidP="00D06748">
      <w:pPr>
        <w:spacing w:before="60" w:after="60"/>
      </w:pPr>
    </w:p>
    <w:p w:rsidR="009B29A8" w:rsidRPr="00D06748" w:rsidRDefault="009B29A8" w:rsidP="00D06748">
      <w:pPr>
        <w:spacing w:before="60" w:after="60"/>
        <w:rPr>
          <w:b/>
          <w:sz w:val="28"/>
          <w:szCs w:val="28"/>
        </w:rPr>
      </w:pPr>
      <w:r w:rsidRPr="00D06748">
        <w:rPr>
          <w:b/>
          <w:sz w:val="28"/>
          <w:szCs w:val="28"/>
        </w:rPr>
        <w:lastRenderedPageBreak/>
        <w:t>Deciding How Many Components to Retain</w:t>
      </w:r>
    </w:p>
    <w:p w:rsidR="00D06748" w:rsidRDefault="009B29A8" w:rsidP="000065D6">
      <w:pPr>
        <w:spacing w:before="60" w:after="60"/>
      </w:pPr>
      <w:r>
        <w:tab/>
      </w:r>
    </w:p>
    <w:p w:rsidR="00D06748" w:rsidRDefault="009B29A8" w:rsidP="000065D6">
      <w:pPr>
        <w:spacing w:before="60" w:after="60"/>
      </w:pPr>
      <w:r>
        <w:t xml:space="preserve">So far, all we have done is to repackage the variance from </w:t>
      </w:r>
      <w:r>
        <w:rPr>
          <w:i/>
        </w:rPr>
        <w:t>p</w:t>
      </w:r>
      <w:r>
        <w:t xml:space="preserve"> correlated variables into </w:t>
      </w:r>
      <w:r>
        <w:rPr>
          <w:i/>
        </w:rPr>
        <w:t xml:space="preserve">p </w:t>
      </w:r>
      <w:r>
        <w:t xml:space="preserve">uncorrelated components.  We probably want to have fewer than </w:t>
      </w:r>
      <w:r>
        <w:rPr>
          <w:i/>
        </w:rPr>
        <w:t>p</w:t>
      </w:r>
      <w:r>
        <w:t xml:space="preserve"> components.  If our </w:t>
      </w:r>
      <w:r>
        <w:rPr>
          <w:i/>
        </w:rPr>
        <w:t>p</w:t>
      </w:r>
      <w:r>
        <w:t xml:space="preserve"> variables do share considerable variance, several of the </w:t>
      </w:r>
      <w:r>
        <w:rPr>
          <w:i/>
        </w:rPr>
        <w:t>p</w:t>
      </w:r>
      <w:r>
        <w:t xml:space="preserve"> components should have large eigenvalues and many should have small eigenvalues.  </w:t>
      </w:r>
    </w:p>
    <w:p w:rsidR="00D06748" w:rsidRDefault="009B29A8" w:rsidP="000065D6">
      <w:pPr>
        <w:spacing w:before="60" w:after="60"/>
      </w:pPr>
      <w:r>
        <w:t xml:space="preserve">One needs to decide how many components to retain.  One handy rule of thumb is to retain only components with eigenvalues of one or more.  </w:t>
      </w:r>
    </w:p>
    <w:p w:rsidR="00D06748" w:rsidRDefault="009B29A8" w:rsidP="000065D6">
      <w:pPr>
        <w:spacing w:before="60" w:after="60"/>
      </w:pPr>
      <w:r>
        <w:t xml:space="preserve">That is, drop any component that accounts for less variance than does a single variable.  Another device for deciding on the number of components to retain is the </w:t>
      </w:r>
      <w:r>
        <w:rPr>
          <w:b/>
        </w:rPr>
        <w:t>scree test</w:t>
      </w:r>
      <w:r>
        <w:t xml:space="preserve">.  This is a plot with eigenvalues on the ordinate and component number on the abscissa.  Scree is the rubble at the base of a sloping cliff. </w:t>
      </w:r>
    </w:p>
    <w:p w:rsidR="009B29A8" w:rsidRDefault="009B29A8" w:rsidP="000065D6">
      <w:pPr>
        <w:spacing w:before="60" w:after="60"/>
      </w:pPr>
      <w:r>
        <w:t>In a scree plot, scree is those components that are at the bottom of the sloping plot of eigenvalues versus component number.  The plot provides a visual aid for deciding at what point including additional components no longer increases the amount of variance accounted for by a nontrivial amount.</w:t>
      </w:r>
      <w:r w:rsidR="00AE367A">
        <w:t xml:space="preserve">  Here is the scree plot produced by </w:t>
      </w:r>
      <w:r w:rsidR="00430775">
        <w:t>SPSS</w:t>
      </w:r>
      <w:r w:rsidR="00AE367A">
        <w:t>:</w:t>
      </w:r>
    </w:p>
    <w:p w:rsidR="003354FE" w:rsidRDefault="00D30632" w:rsidP="003354FE">
      <w:pPr>
        <w:autoSpaceDE w:val="0"/>
        <w:autoSpaceDN w:val="0"/>
        <w:adjustRightInd w:val="0"/>
        <w:rPr>
          <w:rFonts w:ascii="System" w:hAnsi="System" w:cs="System"/>
          <w:b/>
          <w:bCs/>
          <w:sz w:val="20"/>
        </w:rPr>
      </w:pPr>
      <w:r>
        <w:rPr>
          <w:rFonts w:ascii="System" w:hAnsi="System" w:cs="System"/>
          <w:b/>
          <w:bCs/>
          <w:noProof/>
          <w:sz w:val="20"/>
          <w:lang w:val="en-IE" w:eastAsia="en-IE"/>
        </w:rPr>
        <w:drawing>
          <wp:inline distT="0" distB="0" distL="0" distR="0">
            <wp:extent cx="3422650" cy="273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2650" cy="2736850"/>
                    </a:xfrm>
                    <a:prstGeom prst="rect">
                      <a:avLst/>
                    </a:prstGeom>
                    <a:noFill/>
                    <a:ln>
                      <a:noFill/>
                    </a:ln>
                  </pic:spPr>
                </pic:pic>
              </a:graphicData>
            </a:graphic>
          </wp:inline>
        </w:drawing>
      </w:r>
    </w:p>
    <w:p w:rsidR="00D06748" w:rsidRDefault="009B29A8" w:rsidP="000065D6">
      <w:pPr>
        <w:spacing w:before="60" w:after="60"/>
      </w:pPr>
      <w:r>
        <w:t xml:space="preserve">For our beer data, only the first two components have eigenvalues greater than 1.  There is a big drop in eigenvalue between component 2 and component 3.  On a scree plot, components 3 through 7 would appear as scree at the base of the cliff composed of components 1 and 2.  </w:t>
      </w:r>
    </w:p>
    <w:p w:rsidR="00D06748" w:rsidRDefault="00D06748" w:rsidP="000065D6">
      <w:pPr>
        <w:spacing w:before="60" w:after="60"/>
      </w:pPr>
    </w:p>
    <w:p w:rsidR="009B29A8" w:rsidRDefault="009B29A8" w:rsidP="000065D6">
      <w:pPr>
        <w:spacing w:before="60" w:after="60"/>
      </w:pPr>
      <w:r>
        <w:t>Together components 1 and 2 account for 85% of the total variance.  We shall retain only the first two components.</w:t>
      </w:r>
    </w:p>
    <w:p w:rsidR="00D06748" w:rsidRDefault="00D06748" w:rsidP="00D06748">
      <w:pPr>
        <w:spacing w:before="60" w:after="60"/>
        <w:rPr>
          <w:b/>
          <w:color w:val="008000"/>
          <w:sz w:val="28"/>
          <w:szCs w:val="28"/>
        </w:rPr>
      </w:pPr>
    </w:p>
    <w:p w:rsidR="00D06748" w:rsidRDefault="00D06748" w:rsidP="00D06748">
      <w:pPr>
        <w:spacing w:before="60" w:after="60"/>
        <w:rPr>
          <w:b/>
          <w:color w:val="008000"/>
          <w:sz w:val="28"/>
          <w:szCs w:val="28"/>
        </w:rPr>
      </w:pPr>
    </w:p>
    <w:p w:rsidR="00D06748" w:rsidRDefault="00D06748" w:rsidP="00D06748">
      <w:pPr>
        <w:spacing w:before="60" w:after="60"/>
        <w:rPr>
          <w:b/>
          <w:color w:val="008000"/>
          <w:sz w:val="28"/>
          <w:szCs w:val="28"/>
        </w:rPr>
      </w:pPr>
    </w:p>
    <w:sectPr w:rsidR="00D06748" w:rsidSect="00430775">
      <w:headerReference w:type="even" r:id="rId22"/>
      <w:headerReference w:type="default" r:id="rId23"/>
      <w:footerReference w:type="even" r:id="rId24"/>
      <w:footerReference w:type="default" r:id="rId25"/>
      <w:footerReference w:type="first" r:id="rId26"/>
      <w:pgSz w:w="12240" w:h="15840"/>
      <w:pgMar w:top="1440" w:right="1080" w:bottom="1440" w:left="1080" w:header="720" w:footer="1008"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B77" w:rsidRDefault="006E6B77">
      <w:r>
        <w:separator/>
      </w:r>
    </w:p>
  </w:endnote>
  <w:endnote w:type="continuationSeparator" w:id="0">
    <w:p w:rsidR="006E6B77" w:rsidRDefault="006E6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4" w:rsidRDefault="00485B66">
    <w:pPr>
      <w:pStyle w:val="Footer"/>
      <w:framePr w:wrap="around" w:vAnchor="text" w:hAnchor="margin" w:xAlign="center" w:y="1"/>
      <w:rPr>
        <w:rStyle w:val="PageNumber"/>
      </w:rPr>
    </w:pPr>
    <w:r>
      <w:rPr>
        <w:rStyle w:val="PageNumber"/>
      </w:rPr>
      <w:fldChar w:fldCharType="begin"/>
    </w:r>
    <w:r w:rsidR="00E64BF4">
      <w:rPr>
        <w:rStyle w:val="PageNumber"/>
      </w:rPr>
      <w:instrText xml:space="preserve">PAGE  </w:instrText>
    </w:r>
    <w:r>
      <w:rPr>
        <w:rStyle w:val="PageNumber"/>
      </w:rPr>
      <w:fldChar w:fldCharType="end"/>
    </w:r>
  </w:p>
  <w:p w:rsidR="00E64BF4" w:rsidRDefault="00E64B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4" w:rsidRDefault="00E64BF4">
    <w:pPr>
      <w:pStyle w:val="Footer"/>
      <w:framePr w:wrap="around" w:vAnchor="text" w:hAnchor="margin" w:xAlign="center" w:y="1"/>
      <w:rPr>
        <w:rStyle w:val="PageNumber"/>
      </w:rPr>
    </w:pPr>
  </w:p>
  <w:p w:rsidR="00E64BF4" w:rsidRDefault="00E64B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4" w:rsidRDefault="00E64BF4">
    <w:pPr>
      <w:pStyle w:val="Footer"/>
      <w:jc w:val="right"/>
      <w:rPr>
        <w:sz w:val="20"/>
      </w:rPr>
    </w:pPr>
    <w:r>
      <w:rPr>
        <w:sz w:val="20"/>
      </w:rPr>
      <w:t>PCA-SPSS.doc</w:t>
    </w:r>
    <w:r w:rsidR="00141FA9">
      <w:rPr>
        <w:sz w:val="20"/>
      </w:rPr>
      <w:t>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B77" w:rsidRDefault="006E6B77">
      <w:r>
        <w:separator/>
      </w:r>
    </w:p>
  </w:footnote>
  <w:footnote w:type="continuationSeparator" w:id="0">
    <w:p w:rsidR="006E6B77" w:rsidRDefault="006E6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4" w:rsidRDefault="00485B66" w:rsidP="0062774C">
    <w:pPr>
      <w:pStyle w:val="Header"/>
      <w:framePr w:wrap="around" w:vAnchor="text" w:hAnchor="margin" w:xAlign="right" w:y="1"/>
      <w:rPr>
        <w:rStyle w:val="PageNumber"/>
      </w:rPr>
    </w:pPr>
    <w:r>
      <w:rPr>
        <w:rStyle w:val="PageNumber"/>
      </w:rPr>
      <w:fldChar w:fldCharType="begin"/>
    </w:r>
    <w:r w:rsidR="00E64BF4">
      <w:rPr>
        <w:rStyle w:val="PageNumber"/>
      </w:rPr>
      <w:instrText xml:space="preserve">PAGE  </w:instrText>
    </w:r>
    <w:r>
      <w:rPr>
        <w:rStyle w:val="PageNumber"/>
      </w:rPr>
      <w:fldChar w:fldCharType="end"/>
    </w:r>
  </w:p>
  <w:p w:rsidR="00E64BF4" w:rsidRDefault="00E64BF4" w:rsidP="00F34AD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BF4" w:rsidRDefault="00485B66" w:rsidP="0062774C">
    <w:pPr>
      <w:pStyle w:val="Header"/>
      <w:framePr w:wrap="around" w:vAnchor="text" w:hAnchor="margin" w:xAlign="right" w:y="1"/>
      <w:rPr>
        <w:rStyle w:val="PageNumber"/>
      </w:rPr>
    </w:pPr>
    <w:r>
      <w:rPr>
        <w:rStyle w:val="PageNumber"/>
      </w:rPr>
      <w:fldChar w:fldCharType="begin"/>
    </w:r>
    <w:r w:rsidR="00E64BF4">
      <w:rPr>
        <w:rStyle w:val="PageNumber"/>
      </w:rPr>
      <w:instrText xml:space="preserve">PAGE  </w:instrText>
    </w:r>
    <w:r>
      <w:rPr>
        <w:rStyle w:val="PageNumber"/>
      </w:rPr>
      <w:fldChar w:fldCharType="separate"/>
    </w:r>
    <w:r w:rsidR="00FC0340">
      <w:rPr>
        <w:rStyle w:val="PageNumber"/>
        <w:noProof/>
      </w:rPr>
      <w:t>7</w:t>
    </w:r>
    <w:r>
      <w:rPr>
        <w:rStyle w:val="PageNumber"/>
      </w:rPr>
      <w:fldChar w:fldCharType="end"/>
    </w:r>
  </w:p>
  <w:p w:rsidR="00E64BF4" w:rsidRDefault="00E64BF4" w:rsidP="00F34AD3">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F04EE"/>
    <w:multiLevelType w:val="hybridMultilevel"/>
    <w:tmpl w:val="A05681AA"/>
    <w:lvl w:ilvl="0" w:tplc="5902102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A3BC3"/>
    <w:rsid w:val="000065D6"/>
    <w:rsid w:val="0004208B"/>
    <w:rsid w:val="0013727C"/>
    <w:rsid w:val="00141FA9"/>
    <w:rsid w:val="00162EB8"/>
    <w:rsid w:val="0022164B"/>
    <w:rsid w:val="002A3F40"/>
    <w:rsid w:val="002B2301"/>
    <w:rsid w:val="002D7545"/>
    <w:rsid w:val="003354FE"/>
    <w:rsid w:val="00356F53"/>
    <w:rsid w:val="00367D68"/>
    <w:rsid w:val="00394F7A"/>
    <w:rsid w:val="003B7D99"/>
    <w:rsid w:val="00417FB4"/>
    <w:rsid w:val="00430775"/>
    <w:rsid w:val="004355EE"/>
    <w:rsid w:val="00454465"/>
    <w:rsid w:val="004804D1"/>
    <w:rsid w:val="00482B57"/>
    <w:rsid w:val="00485B66"/>
    <w:rsid w:val="004C667C"/>
    <w:rsid w:val="004D137C"/>
    <w:rsid w:val="004F3937"/>
    <w:rsid w:val="0053132A"/>
    <w:rsid w:val="00550A3B"/>
    <w:rsid w:val="00551EA3"/>
    <w:rsid w:val="00565249"/>
    <w:rsid w:val="005C03BD"/>
    <w:rsid w:val="00613EE9"/>
    <w:rsid w:val="0062774C"/>
    <w:rsid w:val="00671E72"/>
    <w:rsid w:val="00677EF8"/>
    <w:rsid w:val="006D080F"/>
    <w:rsid w:val="006E6B77"/>
    <w:rsid w:val="00780CE2"/>
    <w:rsid w:val="0079504C"/>
    <w:rsid w:val="007A209B"/>
    <w:rsid w:val="00830808"/>
    <w:rsid w:val="008537FC"/>
    <w:rsid w:val="008D5639"/>
    <w:rsid w:val="009530C6"/>
    <w:rsid w:val="00977FF0"/>
    <w:rsid w:val="00981F09"/>
    <w:rsid w:val="009B29A8"/>
    <w:rsid w:val="009D58FB"/>
    <w:rsid w:val="00A01F2C"/>
    <w:rsid w:val="00A207EB"/>
    <w:rsid w:val="00A35216"/>
    <w:rsid w:val="00A77F1B"/>
    <w:rsid w:val="00AC30ED"/>
    <w:rsid w:val="00AE367A"/>
    <w:rsid w:val="00B33234"/>
    <w:rsid w:val="00B415C0"/>
    <w:rsid w:val="00B52ACF"/>
    <w:rsid w:val="00B87A1C"/>
    <w:rsid w:val="00B92D33"/>
    <w:rsid w:val="00BC28DD"/>
    <w:rsid w:val="00BC46DE"/>
    <w:rsid w:val="00BF5705"/>
    <w:rsid w:val="00C05778"/>
    <w:rsid w:val="00C92E47"/>
    <w:rsid w:val="00CA04E0"/>
    <w:rsid w:val="00CC4345"/>
    <w:rsid w:val="00D06748"/>
    <w:rsid w:val="00D30632"/>
    <w:rsid w:val="00D83E57"/>
    <w:rsid w:val="00DC46FA"/>
    <w:rsid w:val="00DF2696"/>
    <w:rsid w:val="00E06DC5"/>
    <w:rsid w:val="00E64BF4"/>
    <w:rsid w:val="00EA3BC3"/>
    <w:rsid w:val="00EA535B"/>
    <w:rsid w:val="00F34AD3"/>
    <w:rsid w:val="00F91A28"/>
    <w:rsid w:val="00FA5775"/>
    <w:rsid w:val="00FC0340"/>
    <w:rsid w:val="00FC100F"/>
    <w:rsid w:val="00FD22B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B6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85B66"/>
    <w:rPr>
      <w:position w:val="6"/>
      <w:sz w:val="16"/>
    </w:rPr>
  </w:style>
  <w:style w:type="paragraph" w:styleId="Header">
    <w:name w:val="header"/>
    <w:basedOn w:val="Normal"/>
    <w:rsid w:val="00485B66"/>
    <w:pPr>
      <w:tabs>
        <w:tab w:val="center" w:pos="4320"/>
        <w:tab w:val="right" w:pos="8640"/>
      </w:tabs>
    </w:pPr>
  </w:style>
  <w:style w:type="paragraph" w:styleId="Footer">
    <w:name w:val="footer"/>
    <w:basedOn w:val="Normal"/>
    <w:rsid w:val="00485B66"/>
    <w:pPr>
      <w:tabs>
        <w:tab w:val="center" w:pos="4320"/>
        <w:tab w:val="right" w:pos="8640"/>
      </w:tabs>
    </w:pPr>
  </w:style>
  <w:style w:type="character" w:styleId="PageNumber">
    <w:name w:val="page number"/>
    <w:basedOn w:val="DefaultParagraphFont"/>
    <w:rsid w:val="00485B66"/>
  </w:style>
  <w:style w:type="character" w:styleId="Hyperlink">
    <w:name w:val="Hyperlink"/>
    <w:basedOn w:val="DefaultParagraphFont"/>
    <w:rsid w:val="00485B66"/>
    <w:rPr>
      <w:color w:val="0000FF"/>
      <w:u w:val="single"/>
    </w:rPr>
  </w:style>
  <w:style w:type="character" w:styleId="FollowedHyperlink">
    <w:name w:val="FollowedHyperlink"/>
    <w:basedOn w:val="DefaultParagraphFont"/>
    <w:rsid w:val="00485B66"/>
    <w:rPr>
      <w:color w:val="800080"/>
      <w:u w:val="single"/>
    </w:rPr>
  </w:style>
  <w:style w:type="paragraph" w:styleId="BalloonText">
    <w:name w:val="Balloon Text"/>
    <w:basedOn w:val="Normal"/>
    <w:link w:val="BalloonTextChar"/>
    <w:rsid w:val="00430775"/>
    <w:rPr>
      <w:rFonts w:ascii="Tahoma" w:hAnsi="Tahoma" w:cs="Tahoma"/>
      <w:sz w:val="16"/>
      <w:szCs w:val="16"/>
    </w:rPr>
  </w:style>
  <w:style w:type="character" w:customStyle="1" w:styleId="BalloonTextChar">
    <w:name w:val="Balloon Text Char"/>
    <w:basedOn w:val="DefaultParagraphFont"/>
    <w:link w:val="BalloonText"/>
    <w:rsid w:val="00430775"/>
    <w:rPr>
      <w:rFonts w:ascii="Tahoma" w:hAnsi="Tahoma" w:cs="Tahoma"/>
      <w:sz w:val="16"/>
      <w:szCs w:val="16"/>
    </w:rPr>
  </w:style>
  <w:style w:type="table" w:styleId="TableGrid">
    <w:name w:val="Table Grid"/>
    <w:basedOn w:val="TableNormal"/>
    <w:rsid w:val="00EA5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3E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position w:val="6"/>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430775"/>
    <w:rPr>
      <w:rFonts w:ascii="Tahoma" w:hAnsi="Tahoma" w:cs="Tahoma"/>
      <w:sz w:val="16"/>
      <w:szCs w:val="16"/>
    </w:rPr>
  </w:style>
  <w:style w:type="character" w:customStyle="1" w:styleId="BalloonTextChar">
    <w:name w:val="Balloon Text Char"/>
    <w:basedOn w:val="DefaultParagraphFont"/>
    <w:link w:val="BalloonText"/>
    <w:rsid w:val="00430775"/>
    <w:rPr>
      <w:rFonts w:ascii="Tahoma" w:hAnsi="Tahoma" w:cs="Tahoma"/>
      <w:sz w:val="16"/>
      <w:szCs w:val="16"/>
    </w:rPr>
  </w:style>
  <w:style w:type="table" w:styleId="TableGrid">
    <w:name w:val="Table Grid"/>
    <w:basedOn w:val="TableNormal"/>
    <w:rsid w:val="00EA5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hyperlink" Target="http://core.ecu.edu/psyc/wuenschk/SPSS/FactBeer.sav" TargetMode="Externa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0.wm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Principal Components Analysis</vt:lpstr>
    </vt:vector>
  </TitlesOfParts>
  <Company>East Carolina University</Company>
  <LinksUpToDate>false</LinksUpToDate>
  <CharactersWithSpaces>9816</CharactersWithSpaces>
  <SharedDoc>false</SharedDoc>
  <HLinks>
    <vt:vector size="30" baseType="variant">
      <vt:variant>
        <vt:i4>6946874</vt:i4>
      </vt:variant>
      <vt:variant>
        <vt:i4>27</vt:i4>
      </vt:variant>
      <vt:variant>
        <vt:i4>0</vt:i4>
      </vt:variant>
      <vt:variant>
        <vt:i4>5</vt:i4>
      </vt:variant>
      <vt:variant>
        <vt:lpwstr>http://core.ecu.edu/psyc/wuenschk/wuensch.html</vt:lpwstr>
      </vt:variant>
      <vt:variant>
        <vt:lpwstr/>
      </vt:variant>
      <vt:variant>
        <vt:i4>3866681</vt:i4>
      </vt:variant>
      <vt:variant>
        <vt:i4>24</vt:i4>
      </vt:variant>
      <vt:variant>
        <vt:i4>0</vt:i4>
      </vt:variant>
      <vt:variant>
        <vt:i4>5</vt:i4>
      </vt:variant>
      <vt:variant>
        <vt:lpwstr>http://core.ecu.edu/psyc/wuenschk/MV/FA/FA-SPSS.doc</vt:lpwstr>
      </vt:variant>
      <vt:variant>
        <vt:lpwstr/>
      </vt:variant>
      <vt:variant>
        <vt:i4>7929901</vt:i4>
      </vt:variant>
      <vt:variant>
        <vt:i4>21</vt:i4>
      </vt:variant>
      <vt:variant>
        <vt:i4>0</vt:i4>
      </vt:variant>
      <vt:variant>
        <vt:i4>5</vt:i4>
      </vt:variant>
      <vt:variant>
        <vt:lpwstr>http://core.ecu.edu/psyc/wuenschk/SPSS/SPSS-MV.htm</vt:lpwstr>
      </vt:variant>
      <vt:variant>
        <vt:lpwstr/>
      </vt:variant>
      <vt:variant>
        <vt:i4>6946920</vt:i4>
      </vt:variant>
      <vt:variant>
        <vt:i4>6</vt:i4>
      </vt:variant>
      <vt:variant>
        <vt:i4>0</vt:i4>
      </vt:variant>
      <vt:variant>
        <vt:i4>5</vt:i4>
      </vt:variant>
      <vt:variant>
        <vt:lpwstr>http://core.ecu.edu/psyc/wuenschk/SPSS/FactBeer.sav</vt:lpwstr>
      </vt:variant>
      <vt:variant>
        <vt:lpwstr/>
      </vt:variant>
      <vt:variant>
        <vt:i4>6946874</vt:i4>
      </vt:variant>
      <vt:variant>
        <vt:i4>0</vt:i4>
      </vt:variant>
      <vt:variant>
        <vt:i4>0</vt:i4>
      </vt:variant>
      <vt:variant>
        <vt:i4>5</vt:i4>
      </vt:variant>
      <vt:variant>
        <vt:lpwstr>http://core.ecu.edu/psyc/wuenschk/wuensch.html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Components Analysis</dc:title>
  <dc:subject/>
  <dc:creator>Karl L. Wuensch</dc:creator>
  <cp:keywords/>
  <dc:description/>
  <cp:lastModifiedBy>kevin.obrien</cp:lastModifiedBy>
  <cp:revision>2</cp:revision>
  <cp:lastPrinted>2005-05-17T17:09:00Z</cp:lastPrinted>
  <dcterms:created xsi:type="dcterms:W3CDTF">2013-02-12T13:14:00Z</dcterms:created>
  <dcterms:modified xsi:type="dcterms:W3CDTF">2013-02-12T13:14:00Z</dcterms:modified>
</cp:coreProperties>
</file>