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pPr>
      <w:r>
        <w:rPr>
          <w:sz w:val="20"/>
          <w:szCs w:val="20"/>
        </w:rPr>
        <w:t xml:space="preserve"> </w:t>
      </w:r>
    </w:p>
    <w:p>
      <w:pPr>
        <w:spacing w:after="80"/>
        <w:jc w:val="center"/>
      </w:pPr>
      <w:r>
        <w:rPr>
          <w:rFonts w:ascii="Arial" w:cs="Arial" w:eastAsia="Arial" w:hAnsi="Arial"/>
          <w:b/>
          <w:bCs/>
          <w:caps/>
          <w:color w:val="C9A84C"/>
          <w:sz w:val="20"/>
          <w:szCs w:val="20"/>
        </w:rPr>
        <w:t xml:space="preserve">PROJECT DOCUMENTATION</w:t>
      </w:r>
    </w:p>
    <w:p>
      <w:pPr>
        <w:spacing w:after="80"/>
        <w:jc w:val="center"/>
      </w:pPr>
      <w:r>
        <w:rPr>
          <w:rFonts w:ascii="Arial" w:cs="Arial" w:eastAsia="Arial" w:hAnsi="Arial"/>
          <w:b/>
          <w:bCs/>
          <w:color w:val="1F3864"/>
          <w:sz w:val="52"/>
          <w:szCs w:val="52"/>
        </w:rPr>
        <w:t xml:space="preserve">UK Retail Resilience</w:t>
      </w:r>
    </w:p>
    <w:p>
      <w:pPr>
        <w:spacing w:after="200"/>
        <w:jc w:val="center"/>
      </w:pPr>
      <w:r>
        <w:rPr>
          <w:rFonts w:ascii="Arial" w:cs="Arial" w:eastAsia="Arial" w:hAnsi="Arial"/>
          <w:color w:val="17375E"/>
          <w:sz w:val="28"/>
          <w:szCs w:val="28"/>
        </w:rPr>
        <w:t xml:space="preserve">How Inflation &amp; Interest Rates Are Reshaping Consumer Spending</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CCCCCC" w:sz="1"/>
              <w:left w:val="single" w:color="CCCCCC" w:sz="1"/>
              <w:bottom w:val="single" w:color="CCCCCC" w:sz="1"/>
              <w:right w:val="single" w:color="CCCCCC" w:sz="1"/>
            </w:tcBorders>
            <w:shd w:fill="1F3864" w:val="clear"/>
            <w:tcMar>
              <w:top w:type="dxa" w:w="120"/>
              <w:left w:type="dxa" w:w="160"/>
              <w:bottom w:type="dxa" w:w="120"/>
              <w:right w:type="dxa" w:w="100"/>
            </w:tcMar>
          </w:tcPr>
          <w:p>
            <w:r>
              <w:rPr>
                <w:rFonts w:ascii="Arial" w:cs="Arial" w:eastAsia="Arial" w:hAnsi="Arial"/>
                <w:b/>
                <w:bCs/>
                <w:color w:val="C9A84C"/>
                <w:sz w:val="18"/>
                <w:szCs w:val="18"/>
              </w:rPr>
              <w:t xml:space="preserve">Project Type</w:t>
            </w:r>
          </w:p>
          <w:p>
            <w:pPr>
              <w:spacing w:before="40"/>
            </w:pPr>
            <w:r>
              <w:rPr>
                <w:rFonts w:ascii="Arial" w:cs="Arial" w:eastAsia="Arial" w:hAnsi="Arial"/>
                <w:color w:val="FFFFFF"/>
                <w:sz w:val="18"/>
                <w:szCs w:val="18"/>
              </w:rPr>
              <w:t xml:space="preserve">Finance / FinTech Portfolio Project</w:t>
            </w:r>
          </w:p>
        </w:tc>
        <w:tc>
          <w:tcPr>
            <w:tcW w:type="dxa" w:w="3600"/>
            <w:tcBorders>
              <w:top w:val="single" w:color="CCCCCC" w:sz="1"/>
              <w:left w:val="single" w:color="CCCCCC" w:sz="1"/>
              <w:bottom w:val="single" w:color="CCCCCC" w:sz="1"/>
              <w:right w:val="single" w:color="CCCCCC" w:sz="1"/>
            </w:tcBorders>
            <w:shd w:fill="17375E" w:val="clear"/>
            <w:tcMar>
              <w:top w:type="dxa" w:w="120"/>
              <w:left w:type="dxa" w:w="160"/>
              <w:bottom w:type="dxa" w:w="120"/>
              <w:right w:type="dxa" w:w="100"/>
            </w:tcMar>
          </w:tcPr>
          <w:p>
            <w:r>
              <w:rPr>
                <w:rFonts w:ascii="Arial" w:cs="Arial" w:eastAsia="Arial" w:hAnsi="Arial"/>
                <w:b/>
                <w:bCs/>
                <w:color w:val="C9A84C"/>
                <w:sz w:val="18"/>
                <w:szCs w:val="18"/>
              </w:rPr>
              <w:t xml:space="preserve">Tool / Platform</w:t>
            </w:r>
          </w:p>
          <w:p>
            <w:pPr>
              <w:spacing w:before="40"/>
            </w:pPr>
            <w:r>
              <w:rPr>
                <w:rFonts w:ascii="Arial" w:cs="Arial" w:eastAsia="Arial" w:hAnsi="Arial"/>
                <w:color w:val="FFFFFF"/>
                <w:sz w:val="18"/>
                <w:szCs w:val="18"/>
              </w:rPr>
              <w:t xml:space="preserve">Microsoft Excel (Advanced)</w:t>
            </w:r>
          </w:p>
        </w:tc>
      </w:tr>
      <w:tr>
        <w:tc>
          <w:tcPr>
            <w:tcW w:type="dxa" w:w="3600"/>
            <w:tcBorders>
              <w:top w:val="single" w:color="CCCCCC" w:sz="1"/>
              <w:left w:val="single" w:color="CCCCCC" w:sz="1"/>
              <w:bottom w:val="single" w:color="CCCCCC" w:sz="1"/>
              <w:right w:val="single" w:color="CCCCCC" w:sz="1"/>
            </w:tcBorders>
            <w:shd w:fill="263B5E" w:val="clear"/>
            <w:tcMar>
              <w:top w:type="dxa" w:w="120"/>
              <w:left w:type="dxa" w:w="160"/>
              <w:bottom w:type="dxa" w:w="120"/>
              <w:right w:type="dxa" w:w="100"/>
            </w:tcMar>
          </w:tcPr>
          <w:p>
            <w:r>
              <w:rPr>
                <w:rFonts w:ascii="Arial" w:cs="Arial" w:eastAsia="Arial" w:hAnsi="Arial"/>
                <w:b/>
                <w:bCs/>
                <w:color w:val="C9A84C"/>
                <w:sz w:val="18"/>
                <w:szCs w:val="18"/>
              </w:rPr>
              <w:t xml:space="preserve">Data Period</w:t>
            </w:r>
          </w:p>
          <w:p>
            <w:pPr>
              <w:spacing w:before="40"/>
            </w:pPr>
            <w:r>
              <w:rPr>
                <w:rFonts w:ascii="Arial" w:cs="Arial" w:eastAsia="Arial" w:hAnsi="Arial"/>
                <w:color w:val="FFFFFF"/>
                <w:sz w:val="18"/>
                <w:szCs w:val="18"/>
              </w:rPr>
              <w:t xml:space="preserve">January 2018 – April 2026</w:t>
            </w:r>
          </w:p>
        </w:tc>
        <w:tc>
          <w:tcPr>
            <w:tcW w:type="dxa" w:w="3600"/>
            <w:tcBorders>
              <w:top w:val="single" w:color="CCCCCC" w:sz="1"/>
              <w:left w:val="single" w:color="CCCCCC" w:sz="1"/>
              <w:bottom w:val="single" w:color="CCCCCC" w:sz="1"/>
              <w:right w:val="single" w:color="CCCCCC" w:sz="1"/>
            </w:tcBorders>
            <w:shd w:fill="1A4D3A" w:val="clear"/>
            <w:tcMar>
              <w:top w:type="dxa" w:w="120"/>
              <w:left w:type="dxa" w:w="160"/>
              <w:bottom w:type="dxa" w:w="120"/>
              <w:right w:type="dxa" w:w="100"/>
            </w:tcMar>
          </w:tcPr>
          <w:p>
            <w:r>
              <w:rPr>
                <w:rFonts w:ascii="Arial" w:cs="Arial" w:eastAsia="Arial" w:hAnsi="Arial"/>
                <w:b/>
                <w:bCs/>
                <w:color w:val="C9A84C"/>
                <w:sz w:val="18"/>
                <w:szCs w:val="18"/>
              </w:rPr>
              <w:t xml:space="preserve">Data Points</w:t>
            </w:r>
          </w:p>
          <w:p>
            <w:pPr>
              <w:spacing w:before="40"/>
            </w:pPr>
            <w:r>
              <w:rPr>
                <w:rFonts w:ascii="Arial" w:cs="Arial" w:eastAsia="Arial" w:hAnsi="Arial"/>
                <w:color w:val="FFFFFF"/>
                <w:sz w:val="18"/>
                <w:szCs w:val="18"/>
              </w:rPr>
              <w:t xml:space="preserve">100 Monthly Observations</w:t>
            </w:r>
          </w:p>
        </w:tc>
      </w:tr>
    </w:tbl>
    <w:p>
      <w:pPr>
        <w:spacing w:after="240"/>
      </w:pPr>
    </w:p>
    <w:p>
      <w:pPr>
        <w:pBdr>
          <w:bottom w:val="single" w:color="1F3864" w:sz="8" w:space="1"/>
        </w:pBdr>
        <w:spacing w:after="200"/>
      </w:pPr>
    </w:p>
    <w:p>
      <w:pPr>
        <w:shd w:fill="1F3864" w:val="clear"/>
        <w:spacing w:after="120" w:before="240"/>
        <w:ind w:left="120" w:right="120"/>
      </w:pPr>
      <w:r>
        <w:rPr>
          <w:rFonts w:ascii="Arial" w:cs="Arial" w:eastAsia="Arial" w:hAnsi="Arial"/>
          <w:b/>
          <w:bCs/>
          <w:color w:val="FFFFFF"/>
          <w:sz w:val="36"/>
          <w:szCs w:val="36"/>
        </w:rPr>
        <w:t xml:space="preserve">1.  Executive Summary</w:t>
      </w:r>
    </w:p>
    <w:p>
      <w:pPr>
        <w:spacing w:after="60"/>
      </w:pPr>
    </w:p>
    <w:p>
      <w:pPr>
        <w:spacing w:after="60" w:before="60"/>
      </w:pPr>
      <w:r>
        <w:rPr>
          <w:rFonts w:ascii="Arial" w:cs="Arial" w:eastAsia="Arial" w:hAnsi="Arial"/>
          <w:color w:val="000000"/>
          <w:sz w:val="20"/>
          <w:szCs w:val="20"/>
        </w:rPr>
        <w:t xml:space="preserve">This project builds a fully interactive, data-driven Excel workbook that quantifies how the UK’s post-2021 inflation surge and subsequent Bank of England rate-hiking cycle have reshaped retail consumer spending across sectors and channels.</w:t>
      </w:r>
    </w:p>
    <w:p>
      <w:pPr>
        <w:spacing w:after="60"/>
      </w:pPr>
    </w:p>
    <w:p>
      <w:pPr>
        <w:spacing w:after="60" w:before="60"/>
      </w:pPr>
      <w:r>
        <w:rPr>
          <w:rFonts w:ascii="Arial" w:cs="Arial" w:eastAsia="Arial" w:hAnsi="Arial"/>
          <w:color w:val="000000"/>
          <w:sz w:val="20"/>
          <w:szCs w:val="20"/>
        </w:rPr>
        <w:t xml:space="preserve">Drawing on five official public datasets — ONS Retail Sales Index, ONS Consumer Price Inflation, Bank of England Base Rate, ONS Average Weekly Earnings, and ONS Monthly GDP — the workbook produces an executive dashboard, a sector vulnerability ranking, and a forward-looking scenario model directly relevant to consumer-credit risk, BNPL analysis, and retail equity research.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3864" w:val="clear"/>
            <w:tcMar>
              <w:top w:type="dxa" w:w="120"/>
              <w:left w:type="dxa" w:w="80"/>
              <w:bottom w:type="dxa" w:w="120"/>
              <w:right w:type="dxa" w:w="80"/>
            </w:tcMar>
            <w:vAlign w:val="center"/>
          </w:tcPr>
          <w:p>
            <w:pPr>
              <w:jc w:val="center"/>
            </w:pPr>
            <w:r>
              <w:rPr>
                <w:rFonts w:ascii="Arial" w:cs="Arial" w:eastAsia="Arial" w:hAnsi="Arial"/>
                <w:b/>
                <w:bCs/>
                <w:color w:val="C9A84C"/>
                <w:sz w:val="40"/>
                <w:szCs w:val="40"/>
              </w:rPr>
              <w:t xml:space="preserve">100</w:t>
            </w:r>
          </w:p>
          <w:p>
            <w:pPr>
              <w:spacing w:before="30"/>
              <w:jc w:val="center"/>
            </w:pPr>
            <w:r>
              <w:rPr>
                <w:rFonts w:ascii="Arial" w:cs="Arial" w:eastAsia="Arial" w:hAnsi="Arial"/>
                <w:color w:val="FFFFFF"/>
                <w:sz w:val="16"/>
                <w:szCs w:val="16"/>
              </w:rPr>
              <w:t xml:space="preserve">Monthly Obs.</w:t>
            </w:r>
          </w:p>
        </w:tc>
        <w:tc>
          <w:tcPr>
            <w:tcW w:type="dxa" w:w="1872"/>
            <w:tcBorders>
              <w:top w:val="single" w:color="CCCCCC" w:sz="1"/>
              <w:left w:val="single" w:color="CCCCCC" w:sz="1"/>
              <w:bottom w:val="single" w:color="CCCCCC" w:sz="1"/>
              <w:right w:val="single" w:color="CCCCCC" w:sz="1"/>
            </w:tcBorders>
            <w:shd w:fill="1F3864" w:val="clear"/>
            <w:tcMar>
              <w:top w:type="dxa" w:w="120"/>
              <w:left w:type="dxa" w:w="80"/>
              <w:bottom w:type="dxa" w:w="120"/>
              <w:right w:type="dxa" w:w="80"/>
            </w:tcMar>
            <w:vAlign w:val="center"/>
          </w:tcPr>
          <w:p>
            <w:pPr>
              <w:jc w:val="center"/>
            </w:pPr>
            <w:r>
              <w:rPr>
                <w:rFonts w:ascii="Arial" w:cs="Arial" w:eastAsia="Arial" w:hAnsi="Arial"/>
                <w:b/>
                <w:bCs/>
                <w:color w:val="C9A84C"/>
                <w:sz w:val="40"/>
                <w:szCs w:val="40"/>
              </w:rPr>
              <w:t xml:space="preserve">5</w:t>
            </w:r>
          </w:p>
          <w:p>
            <w:pPr>
              <w:spacing w:before="30"/>
              <w:jc w:val="center"/>
            </w:pPr>
            <w:r>
              <w:rPr>
                <w:rFonts w:ascii="Arial" w:cs="Arial" w:eastAsia="Arial" w:hAnsi="Arial"/>
                <w:color w:val="FFFFFF"/>
                <w:sz w:val="16"/>
                <w:szCs w:val="16"/>
              </w:rPr>
              <w:t xml:space="preserve">UK Datasets</w:t>
            </w:r>
          </w:p>
        </w:tc>
        <w:tc>
          <w:tcPr>
            <w:tcW w:type="dxa" w:w="1872"/>
            <w:tcBorders>
              <w:top w:val="single" w:color="CCCCCC" w:sz="1"/>
              <w:left w:val="single" w:color="CCCCCC" w:sz="1"/>
              <w:bottom w:val="single" w:color="CCCCCC" w:sz="1"/>
              <w:right w:val="single" w:color="CCCCCC" w:sz="1"/>
            </w:tcBorders>
            <w:shd w:fill="1F3864" w:val="clear"/>
            <w:tcMar>
              <w:top w:type="dxa" w:w="120"/>
              <w:left w:type="dxa" w:w="80"/>
              <w:bottom w:type="dxa" w:w="120"/>
              <w:right w:type="dxa" w:w="80"/>
            </w:tcMar>
            <w:vAlign w:val="center"/>
          </w:tcPr>
          <w:p>
            <w:pPr>
              <w:jc w:val="center"/>
            </w:pPr>
            <w:r>
              <w:rPr>
                <w:rFonts w:ascii="Arial" w:cs="Arial" w:eastAsia="Arial" w:hAnsi="Arial"/>
                <w:b/>
                <w:bCs/>
                <w:color w:val="C9A84C"/>
                <w:sz w:val="40"/>
                <w:szCs w:val="40"/>
              </w:rPr>
              <w:t xml:space="preserve">10</w:t>
            </w:r>
          </w:p>
          <w:p>
            <w:pPr>
              <w:spacing w:before="30"/>
              <w:jc w:val="center"/>
            </w:pPr>
            <w:r>
              <w:rPr>
                <w:rFonts w:ascii="Arial" w:cs="Arial" w:eastAsia="Arial" w:hAnsi="Arial"/>
                <w:color w:val="FFFFFF"/>
                <w:sz w:val="16"/>
                <w:szCs w:val="16"/>
              </w:rPr>
              <w:t xml:space="preserve">Workbook Sheets</w:t>
            </w:r>
          </w:p>
        </w:tc>
        <w:tc>
          <w:tcPr>
            <w:tcW w:type="dxa" w:w="1872"/>
            <w:tcBorders>
              <w:top w:val="single" w:color="CCCCCC" w:sz="1"/>
              <w:left w:val="single" w:color="CCCCCC" w:sz="1"/>
              <w:bottom w:val="single" w:color="CCCCCC" w:sz="1"/>
              <w:right w:val="single" w:color="CCCCCC" w:sz="1"/>
            </w:tcBorders>
            <w:shd w:fill="1F3864" w:val="clear"/>
            <w:tcMar>
              <w:top w:type="dxa" w:w="120"/>
              <w:left w:type="dxa" w:w="80"/>
              <w:bottom w:type="dxa" w:w="120"/>
              <w:right w:type="dxa" w:w="80"/>
            </w:tcMar>
            <w:vAlign w:val="center"/>
          </w:tcPr>
          <w:p>
            <w:pPr>
              <w:jc w:val="center"/>
            </w:pPr>
            <w:r>
              <w:rPr>
                <w:rFonts w:ascii="Arial" w:cs="Arial" w:eastAsia="Arial" w:hAnsi="Arial"/>
                <w:b/>
                <w:bCs/>
                <w:color w:val="C9A84C"/>
                <w:sz w:val="40"/>
                <w:szCs w:val="40"/>
              </w:rPr>
              <w:t xml:space="preserve">4</w:t>
            </w:r>
          </w:p>
          <w:p>
            <w:pPr>
              <w:spacing w:before="30"/>
              <w:jc w:val="center"/>
            </w:pPr>
            <w:r>
              <w:rPr>
                <w:rFonts w:ascii="Arial" w:cs="Arial" w:eastAsia="Arial" w:hAnsi="Arial"/>
                <w:color w:val="FFFFFF"/>
                <w:sz w:val="16"/>
                <w:szCs w:val="16"/>
              </w:rPr>
              <w:t xml:space="preserve">Dashboard Charts</w:t>
            </w:r>
          </w:p>
        </w:tc>
        <w:tc>
          <w:tcPr>
            <w:tcW w:type="dxa" w:w="1872"/>
            <w:tcBorders>
              <w:top w:val="single" w:color="CCCCCC" w:sz="1"/>
              <w:left w:val="single" w:color="CCCCCC" w:sz="1"/>
              <w:bottom w:val="single" w:color="CCCCCC" w:sz="1"/>
              <w:right w:val="single" w:color="CCCCCC" w:sz="1"/>
            </w:tcBorders>
            <w:shd w:fill="1F3864" w:val="clear"/>
            <w:tcMar>
              <w:top w:type="dxa" w:w="120"/>
              <w:left w:type="dxa" w:w="80"/>
              <w:bottom w:type="dxa" w:w="120"/>
              <w:right w:type="dxa" w:w="80"/>
            </w:tcMar>
            <w:vAlign w:val="center"/>
          </w:tcPr>
          <w:p>
            <w:pPr>
              <w:jc w:val="center"/>
            </w:pPr>
            <w:r>
              <w:rPr>
                <w:rFonts w:ascii="Arial" w:cs="Arial" w:eastAsia="Arial" w:hAnsi="Arial"/>
                <w:b/>
                <w:bCs/>
                <w:color w:val="C9A84C"/>
                <w:sz w:val="40"/>
                <w:szCs w:val="40"/>
              </w:rPr>
              <w:t xml:space="preserve">667</w:t>
            </w:r>
          </w:p>
          <w:p>
            <w:pPr>
              <w:spacing w:before="30"/>
              <w:jc w:val="center"/>
            </w:pPr>
            <w:r>
              <w:rPr>
                <w:rFonts w:ascii="Arial" w:cs="Arial" w:eastAsia="Arial" w:hAnsi="Arial"/>
                <w:color w:val="FFFFFF"/>
                <w:sz w:val="16"/>
                <w:szCs w:val="16"/>
              </w:rPr>
              <w:t xml:space="preserve">Live Formulas</w:t>
            </w:r>
          </w:p>
        </w:tc>
      </w:tr>
    </w:tbl>
    <w:p>
      <w:pPr>
        <w:spacing w:after="200"/>
      </w:pPr>
    </w:p>
    <w:p>
      <w:pPr>
        <w:shd w:fill="1F3864" w:val="clear"/>
        <w:spacing w:after="120" w:before="240"/>
        <w:ind w:left="120" w:right="120"/>
      </w:pPr>
      <w:r>
        <w:rPr>
          <w:rFonts w:ascii="Arial" w:cs="Arial" w:eastAsia="Arial" w:hAnsi="Arial"/>
          <w:b/>
          <w:bCs/>
          <w:color w:val="FFFFFF"/>
          <w:sz w:val="36"/>
          <w:szCs w:val="36"/>
        </w:rPr>
        <w:t xml:space="preserve">2.  Problem Statement</w:t>
      </w:r>
    </w:p>
    <w:p>
      <w:pPr>
        <w:spacing w:after="60"/>
      </w:pPr>
    </w:p>
    <w:p>
      <w:pPr>
        <w:spacing w:after="60" w:before="60"/>
      </w:pPr>
      <w:r>
        <w:rPr>
          <w:rFonts w:ascii="Arial" w:cs="Arial" w:eastAsia="Arial" w:hAnsi="Arial"/>
          <w:color w:val="000000"/>
          <w:sz w:val="20"/>
          <w:szCs w:val="20"/>
        </w:rPr>
        <w:t xml:space="preserve">UK Finance and FinTech teams — in consumer lending, BNPL (Klarna, Clearpay, Zilch), retail equity research, and challenger banks (Monzo, Starling, Revolut) — constantly model the link between macro indicators and consumer behaviour. Yet analysts often lack a clear, integrated view of:</w:t>
      </w:r>
    </w:p>
    <w:p>
      <w:pPr>
        <w:spacing w:after="40"/>
      </w:pPr>
    </w:p>
    <w:p>
      <w:pPr>
        <w:pStyle w:val="ListParagraph"/>
        <w:numPr>
          <w:ilvl w:val="0"/>
          <w:numId w:val="2"/>
        </w:numPr>
        <w:spacing w:after="40" w:before="40"/>
      </w:pPr>
      <w:r>
        <w:rPr>
          <w:rFonts w:ascii="Arial" w:cs="Arial" w:eastAsia="Arial" w:hAnsi="Arial"/>
          <w:sz w:val="20"/>
          <w:szCs w:val="20"/>
        </w:rPr>
        <w:t xml:space="preserve">How much of retail spending growth is real vs. inflation-driven illusion</w:t>
      </w:r>
    </w:p>
    <w:p>
      <w:pPr>
        <w:pStyle w:val="ListParagraph"/>
        <w:numPr>
          <w:ilvl w:val="0"/>
          <w:numId w:val="2"/>
        </w:numPr>
        <w:spacing w:after="40" w:before="40"/>
      </w:pPr>
      <w:r>
        <w:rPr>
          <w:rFonts w:ascii="Arial" w:cs="Arial" w:eastAsia="Arial" w:hAnsi="Arial"/>
          <w:sz w:val="20"/>
          <w:szCs w:val="20"/>
        </w:rPr>
        <w:t xml:space="preserve">Which sectors are most sensitive to Bank of England rate changes</w:t>
      </w:r>
    </w:p>
    <w:p>
      <w:pPr>
        <w:pStyle w:val="ListParagraph"/>
        <w:numPr>
          <w:ilvl w:val="0"/>
          <w:numId w:val="2"/>
        </w:numPr>
        <w:spacing w:after="40" w:before="40"/>
      </w:pPr>
      <w:r>
        <w:rPr>
          <w:rFonts w:ascii="Arial" w:cs="Arial" w:eastAsia="Arial" w:hAnsi="Arial"/>
          <w:sz w:val="20"/>
          <w:szCs w:val="20"/>
        </w:rPr>
        <w:t xml:space="preserve">What the lag is between a rate decision and its full impact on consumer spending</w:t>
      </w:r>
    </w:p>
    <w:p>
      <w:pPr>
        <w:pStyle w:val="ListParagraph"/>
        <w:numPr>
          <w:ilvl w:val="0"/>
          <w:numId w:val="2"/>
        </w:numPr>
        <w:spacing w:after="40" w:before="40"/>
      </w:pPr>
      <w:r>
        <w:rPr>
          <w:rFonts w:ascii="Arial" w:cs="Arial" w:eastAsia="Arial" w:hAnsi="Arial"/>
          <w:sz w:val="20"/>
          <w:szCs w:val="20"/>
        </w:rPr>
        <w:t xml:space="preserve">Whether the pandemic-era shift to online shopping is structural or temporary</w:t>
      </w:r>
    </w:p>
    <w:p>
      <w:pPr>
        <w:pStyle w:val="ListParagraph"/>
        <w:numPr>
          <w:ilvl w:val="0"/>
          <w:numId w:val="2"/>
        </w:numPr>
        <w:spacing w:after="40" w:before="40"/>
      </w:pPr>
      <w:r>
        <w:rPr>
          <w:rFonts w:ascii="Arial" w:cs="Arial" w:eastAsia="Arial" w:hAnsi="Arial"/>
          <w:sz w:val="20"/>
          <w:szCs w:val="20"/>
        </w:rPr>
        <w:t xml:space="preserve">How purchasing power has evolved when both wages and prices are moving simultaneously</w:t>
      </w:r>
    </w:p>
    <w:p>
      <w:pPr>
        <w:spacing w:after="80"/>
      </w:pPr>
    </w:p>
    <w:p>
      <w:pPr>
        <w:pBdr>
          <w:left w:val="single" w:color="1F3864" w:sz="16" w:space="8"/>
        </w:pBdr>
        <w:shd w:fill="E8EEF4" w:val="clear"/>
        <w:spacing w:after="60" w:before="60"/>
        <w:ind w:left="180" w:right="180"/>
      </w:pPr>
      <w:r>
        <w:rPr>
          <w:rFonts w:ascii="Arial" w:cs="Arial" w:eastAsia="Arial" w:hAnsi="Arial"/>
          <w:b/>
          <w:bCs/>
          <w:color w:val="1F3864"/>
          <w:sz w:val="20"/>
          <w:szCs w:val="20"/>
        </w:rPr>
        <w:t xml:space="preserve">Primary Research Question: </w:t>
      </w:r>
      <w:r>
        <w:rPr>
          <w:rFonts w:ascii="Arial" w:cs="Arial" w:eastAsia="Arial" w:hAnsi="Arial"/>
          <w:sz w:val="20"/>
          <w:szCs w:val="20"/>
        </w:rPr>
        <w:t xml:space="preserve">How sensitive is UK retail spending — in real terms and by sector — to CPI inflation and Bank of England base rate changes?</w:t>
      </w:r>
    </w:p>
    <w:p>
      <w:pPr>
        <w:spacing w:after="100"/>
      </w:pPr>
    </w:p>
    <w:p>
      <w:pPr>
        <w:pBdr>
          <w:bottom w:val="single" w:color="1F3864" w:sz="4" w:space="1"/>
        </w:pBdr>
        <w:spacing w:after="80" w:before="160"/>
      </w:pPr>
      <w:r>
        <w:rPr>
          <w:rFonts w:ascii="Arial" w:cs="Arial" w:eastAsia="Arial" w:hAnsi="Arial"/>
          <w:b/>
          <w:bCs/>
          <w:color w:val="1F3864"/>
          <w:sz w:val="22"/>
          <w:szCs w:val="22"/>
        </w:rPr>
        <w:t xml:space="preserve">Secondary Questions Addressed</w:t>
      </w:r>
    </w:p>
    <w:p>
      <w:pPr>
        <w:pStyle w:val="ListParagraph"/>
        <w:numPr>
          <w:ilvl w:val="0"/>
          <w:numId w:val="2"/>
        </w:numPr>
        <w:spacing w:after="40" w:before="40"/>
      </w:pPr>
      <w:r>
        <w:rPr>
          <w:rFonts w:ascii="Arial" w:cs="Arial" w:eastAsia="Arial" w:hAnsi="Arial"/>
          <w:sz w:val="20"/>
          <w:szCs w:val="20"/>
        </w:rPr>
        <w:t xml:space="preserve">Which retail sectors are most vulnerable to rate-driven demand compression?</w:t>
      </w:r>
    </w:p>
    <w:p>
      <w:pPr>
        <w:pStyle w:val="ListParagraph"/>
        <w:numPr>
          <w:ilvl w:val="0"/>
          <w:numId w:val="2"/>
        </w:numPr>
        <w:spacing w:after="40" w:before="40"/>
      </w:pPr>
      <w:r>
        <w:rPr>
          <w:rFonts w:ascii="Arial" w:cs="Arial" w:eastAsia="Arial" w:hAnsi="Arial"/>
          <w:sz w:val="20"/>
          <w:szCs w:val="20"/>
        </w:rPr>
        <w:t xml:space="preserve">How long is the rate pass-through lag from BoE decision to retail spending impact?</w:t>
      </w:r>
    </w:p>
    <w:p>
      <w:pPr>
        <w:pStyle w:val="ListParagraph"/>
        <w:numPr>
          <w:ilvl w:val="0"/>
          <w:numId w:val="2"/>
        </w:numPr>
        <w:spacing w:after="40" w:before="40"/>
      </w:pPr>
      <w:r>
        <w:rPr>
          <w:rFonts w:ascii="Arial" w:cs="Arial" w:eastAsia="Arial" w:hAnsi="Arial"/>
          <w:sz w:val="20"/>
          <w:szCs w:val="20"/>
        </w:rPr>
        <w:t xml:space="preserve">Has the online / offline channel mix shifted permanently post-2020?</w:t>
      </w:r>
    </w:p>
    <w:p>
      <w:pPr>
        <w:pStyle w:val="ListParagraph"/>
        <w:numPr>
          <w:ilvl w:val="0"/>
          <w:numId w:val="2"/>
        </w:numPr>
        <w:spacing w:after="40" w:before="40"/>
      </w:pPr>
      <w:r>
        <w:rPr>
          <w:rFonts w:ascii="Arial" w:cs="Arial" w:eastAsia="Arial" w:hAnsi="Arial"/>
          <w:sz w:val="20"/>
          <w:szCs w:val="20"/>
        </w:rPr>
        <w:t xml:space="preserve">What does the purchasing power trajectory signal for near-term consumer credit risk?</w:t>
      </w:r>
    </w:p>
    <w:p>
      <w:pPr>
        <w:spacing w:after="180"/>
      </w:pPr>
    </w:p>
    <w:p>
      <w:pPr>
        <w:shd w:fill="1F3864" w:val="clear"/>
        <w:spacing w:after="120" w:before="240"/>
        <w:ind w:left="120" w:right="120"/>
      </w:pPr>
      <w:r>
        <w:rPr>
          <w:rFonts w:ascii="Arial" w:cs="Arial" w:eastAsia="Arial" w:hAnsi="Arial"/>
          <w:b/>
          <w:bCs/>
          <w:color w:val="FFFFFF"/>
          <w:sz w:val="36"/>
          <w:szCs w:val="36"/>
        </w:rPr>
        <w:t xml:space="preserve">3.  Data Sources</w:t>
      </w:r>
    </w:p>
    <w:p>
      <w:pPr>
        <w:spacing w:after="60"/>
      </w:pPr>
    </w:p>
    <w:p>
      <w:pPr>
        <w:spacing w:after="60" w:before="60"/>
      </w:pPr>
      <w:r>
        <w:rPr>
          <w:rFonts w:ascii="Arial" w:cs="Arial" w:eastAsia="Arial" w:hAnsi="Arial"/>
          <w:color w:val="000000"/>
          <w:sz w:val="20"/>
          <w:szCs w:val="20"/>
        </w:rPr>
        <w:t xml:space="preserve">All datasets are sourced from official UK public bodies and released under the UK Open Government Licence v3.0 (free to use in portfolio and commercial work).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80"/>
            </w:tcMar>
          </w:tcPr>
          <w:p>
            <w:r>
              <w:rPr>
                <w:rFonts w:ascii="Arial" w:cs="Arial" w:eastAsia="Arial" w:hAnsi="Arial"/>
                <w:b/>
                <w:bCs/>
                <w:color w:val="C9A84C"/>
                <w:sz w:val="19"/>
                <w:szCs w:val="19"/>
              </w:rPr>
              <w:t xml:space="preserve">Dataset</w:t>
            </w:r>
          </w:p>
        </w:tc>
        <w:tc>
          <w:tcPr>
            <w:tcW w:type="dxa" w:w="6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80"/>
            </w:tcMar>
          </w:tcPr>
          <w:p>
            <w:r>
              <w:rPr>
                <w:rFonts w:ascii="Arial" w:cs="Arial" w:eastAsia="Arial" w:hAnsi="Arial"/>
                <w:b/>
                <w:bCs/>
                <w:color w:val="C9A84C"/>
                <w:sz w:val="19"/>
                <w:szCs w:val="19"/>
              </w:rPr>
              <w:t xml:space="preserve">Source, Series &amp; Purpose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b/>
                <w:bCs/>
                <w:color w:val="17375E"/>
                <w:sz w:val="19"/>
                <w:szCs w:val="19"/>
              </w:rPr>
              <w:t xml:space="preserve">ONS Retail Sales Index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000000"/>
                <w:sz w:val="19"/>
                <w:szCs w:val="19"/>
              </w:rPr>
              <w:t xml:space="preserve">KPSA (chained volume index, 2023=100) &amp; CPSA1 (value YoY%). 6 sub-sectors: All, Food, Non-Food, Clothing, Household Goods, Non-Store. Core dependent variable.</w:t>
            </w:r>
          </w:p>
        </w:tc>
      </w:tr>
      <w:tr>
        <w:tc>
          <w:tcPr>
            <w:tcW w:type="dxa" w:w="2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80"/>
            </w:tcMar>
          </w:tcPr>
          <w:p>
            <w:r>
              <w:rPr>
                <w:rFonts w:ascii="Arial" w:cs="Arial" w:eastAsia="Arial" w:hAnsi="Arial"/>
                <w:b/>
                <w:bCs/>
                <w:color w:val="17375E"/>
                <w:sz w:val="19"/>
                <w:szCs w:val="19"/>
              </w:rPr>
              <w:t xml:space="preserve">ONS Consumer Price Index</w:t>
            </w:r>
          </w:p>
        </w:tc>
        <w:tc>
          <w:tcPr>
            <w:tcW w:type="dxa" w:w="65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80"/>
            </w:tcMar>
          </w:tcPr>
          <w:p>
            <w:r>
              <w:rPr>
                <w:rFonts w:ascii="Arial" w:cs="Arial" w:eastAsia="Arial" w:hAnsi="Arial"/>
                <w:color w:val="000000"/>
                <w:sz w:val="19"/>
                <w:szCs w:val="19"/>
              </w:rPr>
              <w:t xml:space="preserve">D7G7 series — monthly CPI 12-month rate (2015=100). Used as inflation deflator to derive real retail growth. Source: consumerpriceinflationdetailedreferencetables.xlsx</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b/>
                <w:bCs/>
                <w:color w:val="17375E"/>
                <w:sz w:val="19"/>
                <w:szCs w:val="19"/>
              </w:rPr>
              <w:t xml:space="preserve">BoE Base Rate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000000"/>
                <w:sz w:val="19"/>
                <w:szCs w:val="19"/>
              </w:rPr>
              <w:t xml:space="preserve">Official Bank Rate change history. Forward-filled to monthly series. Independent variable — monetary policy lever. Source: Bank_Rate_history_and_data.xlsx</w:t>
            </w:r>
          </w:p>
        </w:tc>
      </w:tr>
      <w:tr>
        <w:tc>
          <w:tcPr>
            <w:tcW w:type="dxa" w:w="2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80"/>
            </w:tcMar>
          </w:tcPr>
          <w:p>
            <w:r>
              <w:rPr>
                <w:rFonts w:ascii="Arial" w:cs="Arial" w:eastAsia="Arial" w:hAnsi="Arial"/>
                <w:b/>
                <w:bCs/>
                <w:color w:val="17375E"/>
                <w:sz w:val="19"/>
                <w:szCs w:val="19"/>
              </w:rPr>
              <w:t xml:space="preserve">ONS Avg Weekly Earnings</w:t>
            </w:r>
          </w:p>
        </w:tc>
        <w:tc>
          <w:tcPr>
            <w:tcW w:type="dxa" w:w="65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80"/>
            </w:tcMar>
          </w:tcPr>
          <w:p>
            <w:r>
              <w:rPr>
                <w:rFonts w:ascii="Arial" w:cs="Arial" w:eastAsia="Arial" w:hAnsi="Arial"/>
                <w:color w:val="000000"/>
                <w:sz w:val="19"/>
                <w:szCs w:val="19"/>
              </w:rPr>
              <w:t xml:space="preserve">KAC2 series — whole economy total pay, single-month YoY%, seasonally adjusted. Used to calculate purchasing power gap (AWE − CPI). Source: earn01may2026.xls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b/>
                <w:bCs/>
                <w:color w:val="17375E"/>
                <w:sz w:val="19"/>
                <w:szCs w:val="19"/>
              </w:rPr>
              <w:t xml:space="preserve">ONS Monthly GDP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000000"/>
                <w:sz w:val="19"/>
                <w:szCs w:val="19"/>
              </w:rPr>
              <w:t xml:space="preserve">ECY2 series — total GVA monthly % change on same month a year ago. Macro context and control variable. Source: monthlygdptablesapr26.xlsx</w:t>
            </w:r>
          </w:p>
        </w:tc>
      </w:tr>
    </w:tbl>
    <w:p>
      <w:pPr>
        <w:spacing w:after="200"/>
      </w:pPr>
    </w:p>
    <w:p>
      <w:pPr>
        <w:shd w:fill="1F3864" w:val="clear"/>
        <w:spacing w:after="120" w:before="240"/>
        <w:ind w:left="120" w:right="120"/>
      </w:pPr>
      <w:r>
        <w:rPr>
          <w:rFonts w:ascii="Arial" w:cs="Arial" w:eastAsia="Arial" w:hAnsi="Arial"/>
          <w:b/>
          <w:bCs/>
          <w:color w:val="FFFFFF"/>
          <w:sz w:val="36"/>
          <w:szCs w:val="36"/>
        </w:rPr>
        <w:t xml:space="preserve">4.  Tools &amp; Techniques Used</w:t>
      </w:r>
    </w:p>
    <w:p>
      <w:pPr>
        <w:spacing w:after="60"/>
      </w:pPr>
    </w:p>
    <w:p>
      <w:pPr>
        <w:pBdr>
          <w:bottom w:val="single" w:color="1F3864" w:sz="4" w:space="1"/>
        </w:pBdr>
        <w:spacing w:after="80" w:before="160"/>
      </w:pPr>
      <w:r>
        <w:rPr>
          <w:rFonts w:ascii="Arial" w:cs="Arial" w:eastAsia="Arial" w:hAnsi="Arial"/>
          <w:b/>
          <w:bCs/>
          <w:color w:val="1F3864"/>
          <w:sz w:val="22"/>
          <w:szCs w:val="22"/>
        </w:rPr>
        <w:t xml:space="preserve">Primary Tool: Microsoft Excel (Advanced)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00"/>
            </w:tcMar>
          </w:tcPr>
          <w:p>
            <w:r>
              <w:rPr>
                <w:rFonts w:ascii="Arial" w:cs="Arial" w:eastAsia="Arial" w:hAnsi="Arial"/>
                <w:b/>
                <w:bCs/>
                <w:color w:val="17375E"/>
                <w:sz w:val="19"/>
                <w:szCs w:val="19"/>
              </w:rPr>
              <w:t xml:space="preserve">Excel Techniques</w:t>
            </w:r>
          </w:p>
          <w:p>
            <w:pPr>
              <w:pStyle w:val="ListParagraph"/>
              <w:numPr>
                <w:ilvl w:val="0"/>
                <w:numId w:val="2"/>
              </w:numPr>
              <w:spacing w:after="30" w:before="30"/>
            </w:pPr>
            <w:r>
              <w:rPr>
                <w:rFonts w:ascii="Arial" w:cs="Arial" w:eastAsia="Arial" w:hAnsi="Arial"/>
                <w:sz w:val="18"/>
                <w:szCs w:val="18"/>
              </w:rPr>
              <w:t xml:space="preserve">PivotTables with custom grouping</w:t>
            </w:r>
          </w:p>
          <w:p>
            <w:pPr>
              <w:pStyle w:val="ListParagraph"/>
              <w:numPr>
                <w:ilvl w:val="0"/>
                <w:numId w:val="2"/>
              </w:numPr>
              <w:spacing w:after="30" w:before="30"/>
            </w:pPr>
            <w:r>
              <w:rPr>
                <w:rFonts w:ascii="Arial" w:cs="Arial" w:eastAsia="Arial" w:hAnsi="Arial"/>
                <w:sz w:val="18"/>
                <w:szCs w:val="18"/>
              </w:rPr>
              <w:t xml:space="preserve">XLOOKUP / INDEX-MATCH / OFFSET</w:t>
            </w:r>
          </w:p>
          <w:p>
            <w:pPr>
              <w:pStyle w:val="ListParagraph"/>
              <w:numPr>
                <w:ilvl w:val="0"/>
                <w:numId w:val="2"/>
              </w:numPr>
              <w:spacing w:after="30" w:before="30"/>
            </w:pPr>
            <w:r>
              <w:rPr>
                <w:rFonts w:ascii="Arial" w:cs="Arial" w:eastAsia="Arial" w:hAnsi="Arial"/>
                <w:sz w:val="18"/>
                <w:szCs w:val="18"/>
              </w:rPr>
              <w:t xml:space="preserve">CORREL function (5 lag points)</w:t>
            </w:r>
          </w:p>
          <w:p>
            <w:pPr>
              <w:pStyle w:val="ListParagraph"/>
              <w:numPr>
                <w:ilvl w:val="0"/>
                <w:numId w:val="2"/>
              </w:numPr>
              <w:spacing w:after="30" w:before="30"/>
            </w:pPr>
            <w:r>
              <w:rPr>
                <w:rFonts w:ascii="Arial" w:cs="Arial" w:eastAsia="Arial" w:hAnsi="Arial"/>
                <w:sz w:val="18"/>
                <w:szCs w:val="18"/>
              </w:rPr>
              <w:t xml:space="preserve">Data Tables (2-variable sensitivity)</w:t>
            </w:r>
          </w:p>
          <w:p>
            <w:pPr>
              <w:pStyle w:val="ListParagraph"/>
              <w:numPr>
                <w:ilvl w:val="0"/>
                <w:numId w:val="2"/>
              </w:numPr>
              <w:spacing w:after="30" w:before="30"/>
            </w:pPr>
            <w:r>
              <w:rPr>
                <w:rFonts w:ascii="Arial" w:cs="Arial" w:eastAsia="Arial" w:hAnsi="Arial"/>
                <w:sz w:val="18"/>
                <w:szCs w:val="18"/>
              </w:rPr>
              <w:t xml:space="preserve">Conditional formatting (heat maps)</w:t>
            </w:r>
          </w:p>
          <w:p>
            <w:pPr>
              <w:pStyle w:val="ListParagraph"/>
              <w:numPr>
                <w:ilvl w:val="0"/>
                <w:numId w:val="2"/>
              </w:numPr>
              <w:spacing w:after="30" w:before="30"/>
            </w:pPr>
            <w:r>
              <w:rPr>
                <w:rFonts w:ascii="Arial" w:cs="Arial" w:eastAsia="Arial" w:hAnsi="Arial"/>
                <w:sz w:val="18"/>
                <w:szCs w:val="18"/>
              </w:rPr>
              <w:t xml:space="preserve">Named ranges &amp; table references</w:t>
            </w:r>
          </w:p>
          <w:p>
            <w:pPr>
              <w:pStyle w:val="ListParagraph"/>
              <w:numPr>
                <w:ilvl w:val="0"/>
                <w:numId w:val="2"/>
              </w:numPr>
              <w:spacing w:after="30" w:before="30"/>
            </w:pPr>
            <w:r>
              <w:rPr>
                <w:rFonts w:ascii="Arial" w:cs="Arial" w:eastAsia="Arial" w:hAnsi="Arial"/>
                <w:sz w:val="18"/>
                <w:szCs w:val="18"/>
              </w:rPr>
              <w:t xml:space="preserve">Cross-sheet formula links</w:t>
            </w:r>
          </w:p>
          <w:p>
            <w:pPr>
              <w:pStyle w:val="ListParagraph"/>
              <w:numPr>
                <w:ilvl w:val="0"/>
                <w:numId w:val="2"/>
              </w:numPr>
              <w:spacing w:after="30" w:before="30"/>
            </w:pPr>
            <w:r>
              <w:rPr>
                <w:rFonts w:ascii="Arial" w:cs="Arial" w:eastAsia="Arial" w:hAnsi="Arial"/>
                <w:sz w:val="18"/>
                <w:szCs w:val="18"/>
              </w:rPr>
              <w:t xml:space="preserve">Array formulas for Z-scores</w:t>
            </w:r>
          </w:p>
          <w:p>
            <w:pPr>
              <w:pStyle w:val="ListParagraph"/>
              <w:numPr>
                <w:ilvl w:val="0"/>
                <w:numId w:val="2"/>
              </w:numPr>
              <w:spacing w:after="30" w:before="30"/>
            </w:pPr>
            <w:r>
              <w:rPr>
                <w:rFonts w:ascii="Arial" w:cs="Arial" w:eastAsia="Arial" w:hAnsi="Arial"/>
                <w:sz w:val="18"/>
                <w:szCs w:val="18"/>
              </w:rPr>
              <w:t xml:space="preserve">Dynamic charts with slicers</w:t>
            </w:r>
          </w:p>
          <w:p>
            <w:pPr>
              <w:pStyle w:val="ListParagraph"/>
              <w:numPr>
                <w:ilvl w:val="0"/>
                <w:numId w:val="2"/>
              </w:numPr>
              <w:spacing w:after="30" w:before="30"/>
            </w:pPr>
            <w:r>
              <w:rPr>
                <w:rFonts w:ascii="Arial" w:cs="Arial" w:eastAsia="Arial" w:hAnsi="Arial"/>
                <w:sz w:val="18"/>
                <w:szCs w:val="18"/>
              </w:rPr>
              <w:t xml:space="preserve">TEXT / LEFT / MID / EOMONTH</w:t>
            </w:r>
          </w:p>
        </w:tc>
        <w:tc>
          <w:tcPr>
            <w:tcW w:type="dxa" w:w="4800"/>
            <w:tcBorders>
              <w:top w:val="single" w:color="CCCCCC" w:sz="1"/>
              <w:left w:val="single" w:color="CCCCCC" w:sz="1"/>
              <w:bottom w:val="single" w:color="CCCCCC" w:sz="1"/>
              <w:right w:val="single" w:color="CCCCCC" w:sz="1"/>
            </w:tcBorders>
            <w:shd w:fill="EEF4E8" w:val="clear"/>
            <w:tcMar>
              <w:top w:type="dxa" w:w="100"/>
              <w:left w:type="dxa" w:w="140"/>
              <w:bottom w:type="dxa" w:w="100"/>
              <w:right w:type="dxa" w:w="100"/>
            </w:tcMar>
          </w:tcPr>
          <w:p>
            <w:r>
              <w:rPr>
                <w:rFonts w:ascii="Arial" w:cs="Arial" w:eastAsia="Arial" w:hAnsi="Arial"/>
                <w:b/>
                <w:bCs/>
                <w:color w:val="1B5E20"/>
                <w:sz w:val="19"/>
                <w:szCs w:val="19"/>
              </w:rPr>
              <w:t xml:space="preserve">Analytical Methods</w:t>
            </w:r>
          </w:p>
          <w:p>
            <w:pPr>
              <w:pStyle w:val="ListParagraph"/>
              <w:numPr>
                <w:ilvl w:val="0"/>
                <w:numId w:val="2"/>
              </w:numPr>
              <w:spacing w:after="30" w:before="30"/>
            </w:pPr>
            <w:r>
              <w:rPr>
                <w:rFonts w:ascii="Arial" w:cs="Arial" w:eastAsia="Arial" w:hAnsi="Arial"/>
                <w:sz w:val="18"/>
                <w:szCs w:val="18"/>
              </w:rPr>
              <w:t xml:space="preserve">Real vs. nominal decomposition</w:t>
            </w:r>
          </w:p>
          <w:p>
            <w:pPr>
              <w:pStyle w:val="ListParagraph"/>
              <w:numPr>
                <w:ilvl w:val="0"/>
                <w:numId w:val="2"/>
              </w:numPr>
              <w:spacing w:after="30" w:before="30"/>
            </w:pPr>
            <w:r>
              <w:rPr>
                <w:rFonts w:ascii="Arial" w:cs="Arial" w:eastAsia="Arial" w:hAnsi="Arial"/>
                <w:sz w:val="18"/>
                <w:szCs w:val="18"/>
              </w:rPr>
              <w:t xml:space="preserve">Pearson correlation analysis</w:t>
            </w:r>
          </w:p>
          <w:p>
            <w:pPr>
              <w:pStyle w:val="ListParagraph"/>
              <w:numPr>
                <w:ilvl w:val="0"/>
                <w:numId w:val="2"/>
              </w:numPr>
              <w:spacing w:after="30" w:before="30"/>
            </w:pPr>
            <w:r>
              <w:rPr>
                <w:rFonts w:ascii="Arial" w:cs="Arial" w:eastAsia="Arial" w:hAnsi="Arial"/>
                <w:sz w:val="18"/>
                <w:szCs w:val="18"/>
              </w:rPr>
              <w:t xml:space="preserve">Time-lag regression (0–12m lags)</w:t>
            </w:r>
          </w:p>
          <w:p>
            <w:pPr>
              <w:pStyle w:val="ListParagraph"/>
              <w:numPr>
                <w:ilvl w:val="0"/>
                <w:numId w:val="2"/>
              </w:numPr>
              <w:spacing w:after="30" w:before="30"/>
            </w:pPr>
            <w:r>
              <w:rPr>
                <w:rFonts w:ascii="Arial" w:cs="Arial" w:eastAsia="Arial" w:hAnsi="Arial"/>
                <w:sz w:val="18"/>
                <w:szCs w:val="18"/>
              </w:rPr>
              <w:t xml:space="preserve">Weighted Z-score vulnerability model</w:t>
            </w:r>
          </w:p>
          <w:p>
            <w:pPr>
              <w:pStyle w:val="ListParagraph"/>
              <w:numPr>
                <w:ilvl w:val="0"/>
                <w:numId w:val="2"/>
              </w:numPr>
              <w:spacing w:after="30" w:before="30"/>
            </w:pPr>
            <w:r>
              <w:rPr>
                <w:rFonts w:ascii="Arial" w:cs="Arial" w:eastAsia="Arial" w:hAnsi="Arial"/>
                <w:sz w:val="18"/>
                <w:szCs w:val="18"/>
              </w:rPr>
              <w:t xml:space="preserve">Cumulative purchasing power indexing</w:t>
            </w:r>
          </w:p>
          <w:p>
            <w:pPr>
              <w:pStyle w:val="ListParagraph"/>
              <w:numPr>
                <w:ilvl w:val="0"/>
                <w:numId w:val="2"/>
              </w:numPr>
              <w:spacing w:after="30" w:before="30"/>
            </w:pPr>
            <w:r>
              <w:rPr>
                <w:rFonts w:ascii="Arial" w:cs="Arial" w:eastAsia="Arial" w:hAnsi="Arial"/>
                <w:sz w:val="18"/>
                <w:szCs w:val="18"/>
              </w:rPr>
              <w:t xml:space="preserve">Online penetration ratio analysis</w:t>
            </w:r>
          </w:p>
          <w:p>
            <w:pPr>
              <w:pStyle w:val="ListParagraph"/>
              <w:numPr>
                <w:ilvl w:val="0"/>
                <w:numId w:val="2"/>
              </w:numPr>
              <w:spacing w:after="30" w:before="30"/>
            </w:pPr>
            <w:r>
              <w:rPr>
                <w:rFonts w:ascii="Arial" w:cs="Arial" w:eastAsia="Arial" w:hAnsi="Arial"/>
                <w:sz w:val="18"/>
                <w:szCs w:val="18"/>
              </w:rPr>
              <w:t xml:space="preserve">Sensitivity / scenario modelling</w:t>
            </w:r>
          </w:p>
          <w:p>
            <w:pPr>
              <w:pStyle w:val="ListParagraph"/>
              <w:numPr>
                <w:ilvl w:val="0"/>
                <w:numId w:val="2"/>
              </w:numPr>
              <w:spacing w:after="30" w:before="30"/>
            </w:pPr>
            <w:r>
              <w:rPr>
                <w:rFonts w:ascii="Arial" w:cs="Arial" w:eastAsia="Arial" w:hAnsi="Arial"/>
                <w:sz w:val="18"/>
                <w:szCs w:val="18"/>
              </w:rPr>
              <w:t xml:space="preserve">Annual &amp; monthly aggregation</w:t>
            </w:r>
          </w:p>
          <w:p>
            <w:pPr>
              <w:pStyle w:val="ListParagraph"/>
              <w:numPr>
                <w:ilvl w:val="0"/>
                <w:numId w:val="2"/>
              </w:numPr>
              <w:spacing w:after="30" w:before="30"/>
            </w:pPr>
            <w:r>
              <w:rPr>
                <w:rFonts w:ascii="Arial" w:cs="Arial" w:eastAsia="Arial" w:hAnsi="Arial"/>
                <w:sz w:val="18"/>
                <w:szCs w:val="18"/>
              </w:rPr>
              <w:t xml:space="preserve">Rate pass-through transmission analysis</w:t>
            </w:r>
          </w:p>
          <w:p>
            <w:pPr>
              <w:pStyle w:val="ListParagraph"/>
              <w:numPr>
                <w:ilvl w:val="0"/>
                <w:numId w:val="2"/>
              </w:numPr>
              <w:spacing w:after="30" w:before="30"/>
            </w:pPr>
            <w:r>
              <w:rPr>
                <w:rFonts w:ascii="Arial" w:cs="Arial" w:eastAsia="Arial" w:hAnsi="Arial"/>
                <w:sz w:val="18"/>
                <w:szCs w:val="18"/>
              </w:rPr>
              <w:t xml:space="preserve">Cross-sector comparative benchmarking</w:t>
            </w:r>
          </w:p>
        </w:tc>
      </w:tr>
    </w:tbl>
    <w:p>
      <w:pPr>
        <w:spacing w:after="120"/>
      </w:pPr>
    </w:p>
    <w:p>
      <w:pPr>
        <w:pBdr>
          <w:bottom w:val="single" w:color="1F3864" w:sz="4" w:space="1"/>
        </w:pBdr>
        <w:spacing w:after="80" w:before="160"/>
      </w:pPr>
      <w:r>
        <w:rPr>
          <w:rFonts w:ascii="Arial" w:cs="Arial" w:eastAsia="Arial" w:hAnsi="Arial"/>
          <w:b/>
          <w:bCs/>
          <w:color w:val="1F3864"/>
          <w:sz w:val="22"/>
          <w:szCs w:val="22"/>
        </w:rPr>
        <w:t xml:space="preserve">Data Processing &amp; Quality</w:t>
      </w:r>
    </w:p>
    <w:p>
      <w:pPr>
        <w:pStyle w:val="ListParagraph"/>
        <w:numPr>
          <w:ilvl w:val="0"/>
          <w:numId w:val="2"/>
        </w:numPr>
        <w:spacing w:after="40" w:before="40"/>
      </w:pPr>
      <w:r>
        <w:rPr>
          <w:rFonts w:ascii="Arial" w:cs="Arial" w:eastAsia="Arial" w:hAnsi="Arial"/>
          <w:sz w:val="20"/>
          <w:szCs w:val="20"/>
        </w:rPr>
        <w:t xml:space="preserve">All 5 datasets downloaded in original ONS/BoE format (.xlsx / .xls) and imported into dedicated Raw_* sheets (untouched originals preserved)</w:t>
      </w:r>
    </w:p>
    <w:p>
      <w:pPr>
        <w:pStyle w:val="ListParagraph"/>
        <w:numPr>
          <w:ilvl w:val="0"/>
          <w:numId w:val="2"/>
        </w:numPr>
        <w:spacing w:after="40" w:before="40"/>
      </w:pPr>
      <w:r>
        <w:rPr>
          <w:rFonts w:ascii="Arial" w:cs="Arial" w:eastAsia="Arial" w:hAnsi="Arial"/>
          <w:sz w:val="20"/>
          <w:szCs w:val="20"/>
        </w:rPr>
        <w:t xml:space="preserve">Date standardisation: all series aligned to YYYY-MM monthly frequency</w:t>
      </w:r>
    </w:p>
    <w:p>
      <w:pPr>
        <w:pStyle w:val="ListParagraph"/>
        <w:numPr>
          <w:ilvl w:val="0"/>
          <w:numId w:val="2"/>
        </w:numPr>
        <w:spacing w:after="40" w:before="40"/>
      </w:pPr>
      <w:r>
        <w:rPr>
          <w:rFonts w:ascii="Arial" w:cs="Arial" w:eastAsia="Arial" w:hAnsi="Arial"/>
          <w:sz w:val="20"/>
          <w:szCs w:val="20"/>
        </w:rPr>
        <w:t xml:space="preserve">BoE base rate expanded from change-date events to continuous monthly series by forward-fill</w:t>
      </w:r>
    </w:p>
    <w:p>
      <w:pPr>
        <w:pStyle w:val="ListParagraph"/>
        <w:numPr>
          <w:ilvl w:val="0"/>
          <w:numId w:val="2"/>
        </w:numPr>
        <w:spacing w:after="40" w:before="40"/>
      </w:pPr>
      <w:r>
        <w:rPr>
          <w:rFonts w:ascii="Arial" w:cs="Arial" w:eastAsia="Arial" w:hAnsi="Arial"/>
          <w:sz w:val="20"/>
          <w:szCs w:val="20"/>
        </w:rPr>
        <w:t xml:space="preserve">100 monthly observations validated with zero formula errors across 667 live Excel formulas</w:t>
      </w:r>
    </w:p>
    <w:p>
      <w:pPr>
        <w:pStyle w:val="ListParagraph"/>
        <w:numPr>
          <w:ilvl w:val="0"/>
          <w:numId w:val="2"/>
        </w:numPr>
        <w:spacing w:after="40" w:before="40"/>
      </w:pPr>
      <w:r>
        <w:rPr>
          <w:rFonts w:ascii="Arial" w:cs="Arial" w:eastAsia="Arial" w:hAnsi="Arial"/>
          <w:sz w:val="20"/>
          <w:szCs w:val="20"/>
        </w:rPr>
        <w:t xml:space="preserve">Derived metrics use cell references throughout — no hardcoded calculated values — ensuring full recalculation when source data is updated</w:t>
      </w:r>
    </w:p>
    <w:p>
      <w:pPr>
        <w:spacing w:after="200"/>
      </w:pPr>
    </w:p>
    <w:p>
      <w:pPr>
        <w:shd w:fill="1F3864" w:val="clear"/>
        <w:spacing w:after="120" w:before="240"/>
        <w:ind w:left="120" w:right="120"/>
      </w:pPr>
      <w:r>
        <w:rPr>
          <w:rFonts w:ascii="Arial" w:cs="Arial" w:eastAsia="Arial" w:hAnsi="Arial"/>
          <w:b/>
          <w:bCs/>
          <w:color w:val="FFFFFF"/>
          <w:sz w:val="36"/>
          <w:szCs w:val="36"/>
        </w:rPr>
        <w:t xml:space="preserve">5.  Methodology</w:t>
      </w:r>
    </w:p>
    <w:p>
      <w:pPr>
        <w:spacing w:after="60"/>
      </w:pPr>
    </w:p>
    <w:p>
      <w:pPr>
        <w:pBdr>
          <w:bottom w:val="single" w:color="1F3864" w:sz="4" w:space="1"/>
        </w:pBdr>
        <w:spacing w:after="80" w:before="160"/>
      </w:pPr>
      <w:r>
        <w:rPr>
          <w:rFonts w:ascii="Arial" w:cs="Arial" w:eastAsia="Arial" w:hAnsi="Arial"/>
          <w:b/>
          <w:bCs/>
          <w:color w:val="1F3864"/>
          <w:sz w:val="22"/>
          <w:szCs w:val="22"/>
        </w:rPr>
        <w:t xml:space="preserve">Phase A — Data Collection &amp; Cleaning</w:t>
      </w:r>
    </w:p>
    <w:p>
      <w:pPr>
        <w:pStyle w:val="ListParagraph"/>
        <w:numPr>
          <w:ilvl w:val="0"/>
          <w:numId w:val="2"/>
        </w:numPr>
        <w:spacing w:after="40" w:before="40"/>
      </w:pPr>
      <w:r>
        <w:rPr>
          <w:rFonts w:ascii="Arial" w:cs="Arial" w:eastAsia="Arial" w:hAnsi="Arial"/>
          <w:sz w:val="20"/>
          <w:szCs w:val="20"/>
        </w:rPr>
        <w:t xml:space="preserve">Downloaded 5 official datasets; imported to Raw_* sheets with original formatting preserved</w:t>
      </w:r>
    </w:p>
    <w:p>
      <w:pPr>
        <w:pStyle w:val="ListParagraph"/>
        <w:numPr>
          <w:ilvl w:val="0"/>
          <w:numId w:val="2"/>
        </w:numPr>
        <w:spacing w:after="40" w:before="40"/>
      </w:pPr>
      <w:r>
        <w:rPr>
          <w:rFonts w:ascii="Arial" w:cs="Arial" w:eastAsia="Arial" w:hAnsi="Arial"/>
          <w:sz w:val="20"/>
          <w:szCs w:val="20"/>
        </w:rPr>
        <w:t xml:space="preserve">Standardised date column to YYYY-MM text format across all series</w:t>
      </w:r>
    </w:p>
    <w:p>
      <w:pPr>
        <w:pStyle w:val="ListParagraph"/>
        <w:numPr>
          <w:ilvl w:val="0"/>
          <w:numId w:val="2"/>
        </w:numPr>
        <w:spacing w:after="40" w:before="40"/>
      </w:pPr>
      <w:r>
        <w:rPr>
          <w:rFonts w:ascii="Arial" w:cs="Arial" w:eastAsia="Arial" w:hAnsi="Arial"/>
          <w:sz w:val="20"/>
          <w:szCs w:val="20"/>
        </w:rPr>
        <w:t xml:space="preserve">Built Master sheet joining all series on Date key using XLOOKUP/INDEX-MATCH</w:t>
      </w:r>
    </w:p>
    <w:p>
      <w:pPr>
        <w:pStyle w:val="ListParagraph"/>
        <w:numPr>
          <w:ilvl w:val="0"/>
          <w:numId w:val="2"/>
        </w:numPr>
        <w:spacing w:after="40" w:before="40"/>
      </w:pPr>
      <w:r>
        <w:rPr>
          <w:rFonts w:ascii="Arial" w:cs="Arial" w:eastAsia="Arial" w:hAnsi="Arial"/>
          <w:sz w:val="20"/>
          <w:szCs w:val="20"/>
        </w:rPr>
        <w:t xml:space="preserve">Added derived columns: Year, Quarter, YoY%, MoM%, Real Growth, Purchasing Power Index</w:t>
      </w:r>
    </w:p>
    <w:p>
      <w:pPr>
        <w:spacing w:after="80"/>
      </w:pPr>
    </w:p>
    <w:p>
      <w:pPr>
        <w:pBdr>
          <w:bottom w:val="single" w:color="1F3864" w:sz="4" w:space="1"/>
        </w:pBdr>
        <w:spacing w:after="80" w:before="160"/>
      </w:pPr>
      <w:r>
        <w:rPr>
          <w:rFonts w:ascii="Arial" w:cs="Arial" w:eastAsia="Arial" w:hAnsi="Arial"/>
          <w:b/>
          <w:bCs/>
          <w:color w:val="1F3864"/>
          <w:sz w:val="22"/>
          <w:szCs w:val="22"/>
        </w:rPr>
        <w:t xml:space="preserve">Phase B — Exploratory Analysis (Pivots Sheet)</w:t>
      </w:r>
    </w:p>
    <w:p>
      <w:pPr>
        <w:pStyle w:val="ListParagraph"/>
        <w:numPr>
          <w:ilvl w:val="0"/>
          <w:numId w:val="2"/>
        </w:numPr>
        <w:spacing w:after="40" w:before="40"/>
      </w:pPr>
      <w:r>
        <w:rPr>
          <w:rFonts w:ascii="Arial" w:cs="Arial" w:eastAsia="Arial" w:hAnsi="Arial"/>
          <w:sz w:val="20"/>
          <w:szCs w:val="20"/>
        </w:rPr>
        <w:t xml:space="preserve">Table 1: Annual sector summary — volume index, macro indicators, real growth (2018–2026)</w:t>
      </w:r>
    </w:p>
    <w:p>
      <w:pPr>
        <w:pStyle w:val="ListParagraph"/>
        <w:numPr>
          <w:ilvl w:val="0"/>
          <w:numId w:val="2"/>
        </w:numPr>
        <w:spacing w:after="40" w:before="40"/>
      </w:pPr>
      <w:r>
        <w:rPr>
          <w:rFonts w:ascii="Arial" w:cs="Arial" w:eastAsia="Arial" w:hAnsi="Arial"/>
          <w:sz w:val="20"/>
          <w:szCs w:val="20"/>
        </w:rPr>
        <w:t xml:space="preserve">Table 2: Online channel penetration — non-store ratio trending from ~0.72x to ~1.08x vs all retail</w:t>
      </w:r>
    </w:p>
    <w:p>
      <w:pPr>
        <w:pStyle w:val="ListParagraph"/>
        <w:numPr>
          <w:ilvl w:val="0"/>
          <w:numId w:val="2"/>
        </w:numPr>
        <w:spacing w:after="40" w:before="40"/>
      </w:pPr>
      <w:r>
        <w:rPr>
          <w:rFonts w:ascii="Arial" w:cs="Arial" w:eastAsia="Arial" w:hAnsi="Arial"/>
          <w:sz w:val="20"/>
          <w:szCs w:val="20"/>
        </w:rPr>
        <w:t xml:space="preserve">Table 3: Rate pass-through lag — CORREL(BoE Rate, RSI YoY%) at 0, 3, 6, 9, 12-month lags</w:t>
      </w:r>
    </w:p>
    <w:p>
      <w:pPr>
        <w:pStyle w:val="ListParagraph"/>
        <w:numPr>
          <w:ilvl w:val="0"/>
          <w:numId w:val="2"/>
        </w:numPr>
        <w:spacing w:after="40" w:before="40"/>
      </w:pPr>
      <w:r>
        <w:rPr>
          <w:rFonts w:ascii="Arial" w:cs="Arial" w:eastAsia="Arial" w:hAnsi="Arial"/>
          <w:sz w:val="20"/>
          <w:szCs w:val="20"/>
        </w:rPr>
        <w:t xml:space="preserve">Table 4: Sector vulnerability scorecard — weighted Z-score model across 5 sectors</w:t>
      </w:r>
    </w:p>
    <w:p>
      <w:pPr>
        <w:spacing w:after="80"/>
      </w:pPr>
    </w:p>
    <w:p>
      <w:pPr>
        <w:pBdr>
          <w:bottom w:val="single" w:color="1F3864" w:sz="4" w:space="1"/>
        </w:pBdr>
        <w:spacing w:after="80" w:before="160"/>
      </w:pPr>
      <w:r>
        <w:rPr>
          <w:rFonts w:ascii="Arial" w:cs="Arial" w:eastAsia="Arial" w:hAnsi="Arial"/>
          <w:b/>
          <w:bCs/>
          <w:color w:val="1F3864"/>
          <w:sz w:val="22"/>
          <w:szCs w:val="22"/>
        </w:rPr>
        <w:t xml:space="preserve">Phase C — Derived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C9A84C"/>
                <w:sz w:val="18"/>
                <w:szCs w:val="18"/>
              </w:rPr>
              <w:t xml:space="preserve">Metric</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C9A84C"/>
                <w:sz w:val="18"/>
                <w:szCs w:val="18"/>
              </w:rPr>
              <w:t xml:space="preserve">Formula / Logic</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7375E"/>
                <w:sz w:val="18"/>
                <w:szCs w:val="18"/>
              </w:rPr>
              <w:t xml:space="preserve">Real RSI Growth</w:t>
            </w:r>
          </w:p>
        </w:tc>
        <w:tc>
          <w:tcPr>
            <w:tcW w:type="dxa" w:w="61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80"/>
            </w:tcMar>
          </w:tcPr>
          <w:p>
            <w:r>
              <w:rPr>
                <w:rFonts w:ascii="Arial" w:cs="Arial" w:eastAsia="Arial" w:hAnsi="Arial"/>
                <w:sz w:val="18"/>
                <w:szCs w:val="18"/>
              </w:rPr>
              <w:t xml:space="preserve">= Nominal RSI YoY% (CPSA1) − CPI YoY% (D7G7) — strips out inflation to show true volume change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7375E"/>
                <w:sz w:val="18"/>
                <w:szCs w:val="18"/>
              </w:rPr>
              <w:t xml:space="preserve">Purchasing Power Gap</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sz w:val="18"/>
                <w:szCs w:val="18"/>
              </w:rPr>
              <w:t xml:space="preserve">= AWE Total Pay YoY% − CPI YoY% — positive = wages outpacing prices; negative = squeeze</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7375E"/>
                <w:sz w:val="18"/>
                <w:szCs w:val="18"/>
              </w:rPr>
              <w:t xml:space="preserve">Purchasing Power Index</w:t>
            </w:r>
          </w:p>
        </w:tc>
        <w:tc>
          <w:tcPr>
            <w:tcW w:type="dxa" w:w="61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80"/>
            </w:tcMar>
          </w:tcPr>
          <w:p>
            <w:r>
              <w:rPr>
                <w:rFonts w:ascii="Arial" w:cs="Arial" w:eastAsia="Arial" w:hAnsi="Arial"/>
                <w:sz w:val="18"/>
                <w:szCs w:val="18"/>
              </w:rPr>
              <w:t xml:space="preserve">= Cumulative product of (1 + (AWE−CPI)/1200), base=100 in Jan-18 — tracks erosion over time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7375E"/>
                <w:sz w:val="18"/>
                <w:szCs w:val="18"/>
              </w:rPr>
              <w:t xml:space="preserve">Rate Pass-Through Lag</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sz w:val="18"/>
                <w:szCs w:val="18"/>
              </w:rPr>
              <w:t xml:space="preserve">= CORREL(BoE Rate, RSI YoY%) at t, t-3, t-6, t-9, t-12 months — identifies peak transmission lag</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7375E"/>
                <w:sz w:val="18"/>
                <w:szCs w:val="18"/>
              </w:rPr>
              <w:t xml:space="preserve">Sector Vulnerability Score</w:t>
            </w:r>
          </w:p>
        </w:tc>
        <w:tc>
          <w:tcPr>
            <w:tcW w:type="dxa" w:w="61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80"/>
            </w:tcMar>
          </w:tcPr>
          <w:p>
            <w:r>
              <w:rPr>
                <w:rFonts w:ascii="Arial" w:cs="Arial" w:eastAsia="Arial" w:hAnsi="Arial"/>
                <w:sz w:val="18"/>
                <w:szCs w:val="18"/>
              </w:rPr>
              <w:t xml:space="preserve">= 0.5 × Z(RealDecline) + 0.3 × Z(RateCorr) + 0.2 × Z(DiscretionaryWt) — weighted Z-score ranking</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7375E"/>
                <w:sz w:val="18"/>
                <w:szCs w:val="18"/>
              </w:rPr>
              <w:t xml:space="preserve">Online Penetration Ratio</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sz w:val="18"/>
                <w:szCs w:val="18"/>
              </w:rPr>
              <w:t xml:space="preserve">= RSI Non-Store Volume ÷ RSI All Retail Volume — tracks structural shift in channel mix</w:t>
            </w:r>
          </w:p>
        </w:tc>
      </w:tr>
    </w:tbl>
    <w:p>
      <w:pPr>
        <w:spacing w:after="120"/>
      </w:pPr>
    </w:p>
    <w:p>
      <w:pPr>
        <w:pBdr>
          <w:bottom w:val="single" w:color="1F3864" w:sz="4" w:space="1"/>
        </w:pBdr>
        <w:spacing w:after="80" w:before="160"/>
      </w:pPr>
      <w:r>
        <w:rPr>
          <w:rFonts w:ascii="Arial" w:cs="Arial" w:eastAsia="Arial" w:hAnsi="Arial"/>
          <w:b/>
          <w:bCs/>
          <w:color w:val="1F3864"/>
          <w:sz w:val="22"/>
          <w:szCs w:val="22"/>
        </w:rPr>
        <w:t xml:space="preserve">Phase D — Scenario / What-If Model</w:t>
      </w:r>
    </w:p>
    <w:p>
      <w:pPr>
        <w:pStyle w:val="ListParagraph"/>
        <w:numPr>
          <w:ilvl w:val="0"/>
          <w:numId w:val="2"/>
        </w:numPr>
        <w:spacing w:after="40" w:before="40"/>
      </w:pPr>
      <w:r>
        <w:rPr>
          <w:rFonts w:ascii="Arial" w:cs="Arial" w:eastAsia="Arial" w:hAnsi="Arial"/>
          <w:sz w:val="20"/>
          <w:szCs w:val="20"/>
        </w:rPr>
        <w:t xml:space="preserve">4 yellow input cells: Assumed BoE Rate, Assumed CPI, Assumed Wage Growth, Rate Lag (months)</w:t>
      </w:r>
    </w:p>
    <w:p>
      <w:pPr>
        <w:pStyle w:val="ListParagraph"/>
        <w:numPr>
          <w:ilvl w:val="0"/>
          <w:numId w:val="2"/>
        </w:numPr>
        <w:spacing w:after="40" w:before="40"/>
      </w:pPr>
      <w:r>
        <w:rPr>
          <w:rFonts w:ascii="Arial" w:cs="Arial" w:eastAsia="Arial" w:hAnsi="Arial"/>
          <w:sz w:val="20"/>
          <w:szCs w:val="20"/>
        </w:rPr>
        <w:t xml:space="preserve">Auto-updating outputs: Purchasing Power Gap, Rate Drag, Projected Real RSI Growth by sector</w:t>
      </w:r>
    </w:p>
    <w:p>
      <w:pPr>
        <w:pStyle w:val="ListParagraph"/>
        <w:numPr>
          <w:ilvl w:val="0"/>
          <w:numId w:val="2"/>
        </w:numPr>
        <w:spacing w:after="40" w:before="40"/>
      </w:pPr>
      <w:r>
        <w:rPr>
          <w:rFonts w:ascii="Arial" w:cs="Arial" w:eastAsia="Arial" w:hAnsi="Arial"/>
          <w:sz w:val="20"/>
          <w:szCs w:val="20"/>
        </w:rPr>
        <w:t xml:space="preserve">9 × 9 sensitivity heat map: Base Rate × CPI grid with green/amber/red conditional formatting</w:t>
      </w:r>
    </w:p>
    <w:p>
      <w:pPr>
        <w:pStyle w:val="ListParagraph"/>
        <w:numPr>
          <w:ilvl w:val="0"/>
          <w:numId w:val="2"/>
        </w:numPr>
        <w:spacing w:after="40" w:before="40"/>
      </w:pPr>
      <w:r>
        <w:rPr>
          <w:rFonts w:ascii="Arial" w:cs="Arial" w:eastAsia="Arial" w:hAnsi="Arial"/>
          <w:sz w:val="20"/>
          <w:szCs w:val="20"/>
        </w:rPr>
        <w:t xml:space="preserve">12-month rolling projection table with diminishing fade factor for each forward month</w:t>
      </w:r>
    </w:p>
    <w:p>
      <w:pPr>
        <w:spacing w:after="80"/>
      </w:pPr>
    </w:p>
    <w:p>
      <w:pPr>
        <w:pBdr>
          <w:bottom w:val="single" w:color="1F3864" w:sz="4" w:space="1"/>
        </w:pBdr>
        <w:spacing w:after="80" w:before="160"/>
      </w:pPr>
      <w:r>
        <w:rPr>
          <w:rFonts w:ascii="Arial" w:cs="Arial" w:eastAsia="Arial" w:hAnsi="Arial"/>
          <w:b/>
          <w:bCs/>
          <w:color w:val="1F3864"/>
          <w:sz w:val="22"/>
          <w:szCs w:val="22"/>
        </w:rPr>
        <w:t xml:space="preserve">Phase E — Dashboard &amp; Storytelling</w:t>
      </w:r>
    </w:p>
    <w:p>
      <w:pPr>
        <w:pStyle w:val="ListParagraph"/>
        <w:numPr>
          <w:ilvl w:val="0"/>
          <w:numId w:val="2"/>
        </w:numPr>
        <w:spacing w:after="40" w:before="40"/>
      </w:pPr>
      <w:r>
        <w:rPr>
          <w:rFonts w:ascii="Arial" w:cs="Arial" w:eastAsia="Arial" w:hAnsi="Arial"/>
          <w:sz w:val="20"/>
          <w:szCs w:val="20"/>
        </w:rPr>
        <w:t xml:space="preserve">5 KPI tiles: Latest CPI, BoE Rate, Real RSI Growth, AWE YoY%, Purchasing Power Index</w:t>
      </w:r>
    </w:p>
    <w:p>
      <w:pPr>
        <w:pStyle w:val="ListParagraph"/>
        <w:numPr>
          <w:ilvl w:val="0"/>
          <w:numId w:val="2"/>
        </w:numPr>
        <w:spacing w:after="40" w:before="40"/>
      </w:pPr>
      <w:r>
        <w:rPr>
          <w:rFonts w:ascii="Arial" w:cs="Arial" w:eastAsia="Arial" w:hAnsi="Arial"/>
          <w:sz w:val="20"/>
          <w:szCs w:val="20"/>
        </w:rPr>
        <w:t xml:space="preserve">4 professional charts: Macro drivers line chart, sector bar chart, monthly rate vs RSI line, purchasing power index</w:t>
      </w:r>
    </w:p>
    <w:p>
      <w:pPr>
        <w:pStyle w:val="ListParagraph"/>
        <w:numPr>
          <w:ilvl w:val="0"/>
          <w:numId w:val="2"/>
        </w:numPr>
        <w:spacing w:after="40" w:before="40"/>
      </w:pPr>
      <w:r>
        <w:rPr>
          <w:rFonts w:ascii="Arial" w:cs="Arial" w:eastAsia="Arial" w:hAnsi="Arial"/>
          <w:sz w:val="20"/>
          <w:szCs w:val="20"/>
        </w:rPr>
        <w:t xml:space="preserve">30-second CFO insight box with 3 data-driven findings</w:t>
      </w:r>
    </w:p>
    <w:p>
      <w:pPr>
        <w:pStyle w:val="ListParagraph"/>
        <w:numPr>
          <w:ilvl w:val="0"/>
          <w:numId w:val="2"/>
        </w:numPr>
        <w:spacing w:after="40" w:before="40"/>
      </w:pPr>
      <w:r>
        <w:rPr>
          <w:rFonts w:ascii="Arial" w:cs="Arial" w:eastAsia="Arial" w:hAnsi="Arial"/>
          <w:sz w:val="20"/>
          <w:szCs w:val="20"/>
        </w:rPr>
        <w:t xml:space="preserve">Live scenario panel pulling from Scenario_Model sheet via cross-sheet formulas</w:t>
      </w:r>
    </w:p>
    <w:p>
      <w:pPr>
        <w:spacing w:after="200"/>
      </w:pPr>
    </w:p>
    <w:p>
      <w:pPr>
        <w:shd w:fill="1F3864" w:val="clear"/>
        <w:spacing w:after="120" w:before="240"/>
        <w:ind w:left="120" w:right="120"/>
      </w:pPr>
      <w:r>
        <w:rPr>
          <w:rFonts w:ascii="Arial" w:cs="Arial" w:eastAsia="Arial" w:hAnsi="Arial"/>
          <w:b/>
          <w:bCs/>
          <w:color w:val="FFFFFF"/>
          <w:sz w:val="36"/>
          <w:szCs w:val="36"/>
        </w:rPr>
        <w:t xml:space="preserve">6.  Key Findings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5960"/>
      </w:tblGrid>
      <w:tr>
        <w:tc>
          <w:tcPr>
            <w:tcW w:type="dxa" w:w="400"/>
            <w:tcBorders>
              <w:top w:val="none" w:color="FFFFFF" w:sz="0"/>
              <w:left w:val="none" w:color="FFFFFF" w:sz="0"/>
              <w:bottom w:val="none" w:color="FFFFFF" w:sz="0"/>
              <w:right w:val="none" w:color="FFFFFF" w:sz="0"/>
            </w:tcBorders>
            <w:tcMar>
              <w:top w:type="dxa" w:w="60"/>
              <w:left w:type="dxa" w:w="80"/>
              <w:bottom w:type="dxa" w:w="60"/>
              <w:right w:type="dxa" w:w="60"/>
            </w:tcMar>
          </w:tcPr>
          <w:p>
            <w:r>
              <w:rPr>
                <w:sz w:val="20"/>
                <w:szCs w:val="20"/>
              </w:rPr>
              <w:t xml:space="preserve">📊</w:t>
            </w:r>
          </w:p>
        </w:tc>
        <w:tc>
          <w:tcPr>
            <w:tcW w:type="dxa" w:w="300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b/>
                <w:bCs/>
                <w:color w:val="1F3864"/>
                <w:sz w:val="19"/>
                <w:szCs w:val="19"/>
              </w:rPr>
              <w:t xml:space="preserve">MACRO FINDING</w:t>
            </w:r>
          </w:p>
        </w:tc>
        <w:tc>
          <w:tcPr>
            <w:tcW w:type="dxa" w:w="596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color w:val="000000"/>
                <w:sz w:val="19"/>
                <w:szCs w:val="19"/>
              </w:rPr>
              <w:t xml:space="preserve">Real retail sales contracted sharply in 2022–23 (avg −5.2% per year) despite nominal growth — the 11.1% CPI peak (Oct 2022) masked severe real-terms contraction. The Purchasing Power Index fell from 100 (Jan-18) to a trough of approximately 87, recovering slowly only as wages caught up in late 2023.</w:t>
            </w:r>
          </w:p>
        </w:tc>
      </w:tr>
      <w:tr>
        <w:tc>
          <w:tcPr>
            <w:tcW w:type="dxa" w:w="400"/>
            <w:tcBorders>
              <w:top w:val="none" w:color="FFFFFF" w:sz="0"/>
              <w:left w:val="none" w:color="FFFFFF" w:sz="0"/>
              <w:bottom w:val="none" w:color="FFFFFF" w:sz="0"/>
              <w:right w:val="none" w:color="FFFFFF" w:sz="0"/>
            </w:tcBorders>
            <w:tcMar>
              <w:top w:type="dxa" w:w="60"/>
              <w:left w:type="dxa" w:w="80"/>
              <w:bottom w:type="dxa" w:w="60"/>
              <w:right w:type="dxa" w:w="60"/>
            </w:tcMar>
          </w:tcPr>
          <w:p>
            <w:r>
              <w:rPr>
                <w:sz w:val="20"/>
                <w:szCs w:val="20"/>
              </w:rPr>
              <w:t xml:space="preserve">🏪</w:t>
            </w:r>
          </w:p>
        </w:tc>
        <w:tc>
          <w:tcPr>
            <w:tcW w:type="dxa" w:w="300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b/>
                <w:bCs/>
                <w:color w:val="1F3864"/>
                <w:sz w:val="19"/>
                <w:szCs w:val="19"/>
              </w:rPr>
              <w:t xml:space="preserve">SECTOR FINDING</w:t>
            </w:r>
          </w:p>
        </w:tc>
        <w:tc>
          <w:tcPr>
            <w:tcW w:type="dxa" w:w="596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color w:val="000000"/>
                <w:sz w:val="19"/>
                <w:szCs w:val="19"/>
              </w:rPr>
              <w:t xml:space="preserve">Clothing &amp; Footwear and Household Goods showed 1.6–1.8× the rate sensitivity of Food retail. Discretionary categories lost 12–15% real volume at the 5.25% rate peak. Non-store (online) retail significantly outperformed, insulated by structural habit change and convenience preference.</w:t>
            </w:r>
          </w:p>
        </w:tc>
      </w:tr>
      <w:tr>
        <w:tc>
          <w:tcPr>
            <w:tcW w:type="dxa" w:w="400"/>
            <w:tcBorders>
              <w:top w:val="none" w:color="FFFFFF" w:sz="0"/>
              <w:left w:val="none" w:color="FFFFFF" w:sz="0"/>
              <w:bottom w:val="none" w:color="FFFFFF" w:sz="0"/>
              <w:right w:val="none" w:color="FFFFFF" w:sz="0"/>
            </w:tcBorders>
            <w:tcMar>
              <w:top w:type="dxa" w:w="60"/>
              <w:left w:type="dxa" w:w="80"/>
              <w:bottom w:type="dxa" w:w="60"/>
              <w:right w:type="dxa" w:w="60"/>
            </w:tcMar>
          </w:tcPr>
          <w:p>
            <w:r>
              <w:rPr>
                <w:sz w:val="20"/>
                <w:szCs w:val="20"/>
              </w:rPr>
              <w:t xml:space="preserve">⏱️</w:t>
            </w:r>
          </w:p>
        </w:tc>
        <w:tc>
          <w:tcPr>
            <w:tcW w:type="dxa" w:w="300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b/>
                <w:bCs/>
                <w:color w:val="1F3864"/>
                <w:sz w:val="19"/>
                <w:szCs w:val="19"/>
              </w:rPr>
              <w:t xml:space="preserve">LAG FINDING</w:t>
            </w:r>
          </w:p>
        </w:tc>
        <w:tc>
          <w:tcPr>
            <w:tcW w:type="dxa" w:w="596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color w:val="000000"/>
                <w:sz w:val="19"/>
                <w:szCs w:val="19"/>
              </w:rPr>
              <w:t xml:space="preserve">Rate pass-through lag analysis confirms peak monetary policy transmission at 6 months. The Pearson correlation between BoE rate and RSI YoY% strengthens from r = −0.17 at zero lag to r = −0.21 at 6 months, remaining elevated through 12 months — indicating persistent effects on discretionary spending.</w:t>
            </w:r>
          </w:p>
        </w:tc>
      </w:tr>
      <w:tr>
        <w:tc>
          <w:tcPr>
            <w:tcW w:type="dxa" w:w="400"/>
            <w:tcBorders>
              <w:top w:val="none" w:color="FFFFFF" w:sz="0"/>
              <w:left w:val="none" w:color="FFFFFF" w:sz="0"/>
              <w:bottom w:val="none" w:color="FFFFFF" w:sz="0"/>
              <w:right w:val="none" w:color="FFFFFF" w:sz="0"/>
            </w:tcBorders>
            <w:tcMar>
              <w:top w:type="dxa" w:w="60"/>
              <w:left w:type="dxa" w:w="80"/>
              <w:bottom w:type="dxa" w:w="60"/>
              <w:right w:type="dxa" w:w="60"/>
            </w:tcMar>
          </w:tcPr>
          <w:p>
            <w:r>
              <w:rPr>
                <w:sz w:val="20"/>
                <w:szCs w:val="20"/>
              </w:rPr>
              <w:t xml:space="preserve">📱</w:t>
            </w:r>
          </w:p>
        </w:tc>
        <w:tc>
          <w:tcPr>
            <w:tcW w:type="dxa" w:w="300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b/>
                <w:bCs/>
                <w:color w:val="1F3864"/>
                <w:sz w:val="19"/>
                <w:szCs w:val="19"/>
              </w:rPr>
              <w:t xml:space="preserve">STRUCTURAL FINDING</w:t>
            </w:r>
          </w:p>
        </w:tc>
        <w:tc>
          <w:tcPr>
            <w:tcW w:type="dxa" w:w="596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color w:val="000000"/>
                <w:sz w:val="19"/>
                <w:szCs w:val="19"/>
              </w:rPr>
              <w:t xml:space="preserve">The non-store volume ratio to all retail rose from ~0.72x pre-2020 to ~1.08x post-2020 — a structural 50% uplift in online share that has not reverted. This permanent channel shift has implications for BNPL risk concentration and physical retail credit exposure.</w:t>
            </w:r>
          </w:p>
        </w:tc>
      </w:tr>
      <w:tr>
        <w:tc>
          <w:tcPr>
            <w:tcW w:type="dxa" w:w="400"/>
            <w:tcBorders>
              <w:top w:val="none" w:color="FFFFFF" w:sz="0"/>
              <w:left w:val="none" w:color="FFFFFF" w:sz="0"/>
              <w:bottom w:val="none" w:color="FFFFFF" w:sz="0"/>
              <w:right w:val="none" w:color="FFFFFF" w:sz="0"/>
            </w:tcBorders>
            <w:tcMar>
              <w:top w:type="dxa" w:w="60"/>
              <w:left w:type="dxa" w:w="80"/>
              <w:bottom w:type="dxa" w:w="60"/>
              <w:right w:type="dxa" w:w="60"/>
            </w:tcMar>
          </w:tcPr>
          <w:p>
            <w:r>
              <w:rPr>
                <w:sz w:val="20"/>
                <w:szCs w:val="20"/>
              </w:rPr>
              <w:t xml:space="preserve">⚠️</w:t>
            </w:r>
          </w:p>
        </w:tc>
        <w:tc>
          <w:tcPr>
            <w:tcW w:type="dxa" w:w="300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b/>
                <w:bCs/>
                <w:color w:val="1F3864"/>
                <w:sz w:val="19"/>
                <w:szCs w:val="19"/>
              </w:rPr>
              <w:t xml:space="preserve">RISK SIGNAL</w:t>
            </w:r>
          </w:p>
        </w:tc>
        <w:tc>
          <w:tcPr>
            <w:tcW w:type="dxa" w:w="596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color w:val="000000"/>
                <w:sz w:val="19"/>
                <w:szCs w:val="19"/>
              </w:rPr>
              <w:t xml:space="preserve">The worst real wage gap (AWE − CPI) averaged −3.5 percentage points in 2022 — a critical BNPL and consumer credit stress signal. Arrears risk historically lags this metric by 6–9 months, consistent with the rate pass-through lag finding.</w:t>
            </w:r>
          </w:p>
        </w:tc>
      </w:tr>
    </w:tbl>
    <w:p>
      <w:pPr>
        <w:spacing w:after="200"/>
      </w:pPr>
    </w:p>
    <w:p>
      <w:pPr>
        <w:shd w:fill="1F3864" w:val="clear"/>
        <w:spacing w:after="120" w:before="240"/>
        <w:ind w:left="120" w:right="120"/>
      </w:pPr>
      <w:r>
        <w:rPr>
          <w:rFonts w:ascii="Arial" w:cs="Arial" w:eastAsia="Arial" w:hAnsi="Arial"/>
          <w:b/>
          <w:bCs/>
          <w:color w:val="FFFFFF"/>
          <w:sz w:val="36"/>
          <w:szCs w:val="36"/>
        </w:rPr>
        <w:t xml:space="preserve">7.  Workbook Structure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80"/>
            </w:tcMar>
          </w:tcPr>
          <w:p>
            <w:r>
              <w:rPr>
                <w:rFonts w:ascii="Arial" w:cs="Arial" w:eastAsia="Arial" w:hAnsi="Arial"/>
                <w:b/>
                <w:bCs/>
                <w:color w:val="C9A84C"/>
                <w:sz w:val="19"/>
                <w:szCs w:val="19"/>
              </w:rPr>
              <w:t xml:space="preserve">Sheet</w:t>
            </w:r>
          </w:p>
        </w:tc>
        <w:tc>
          <w:tcPr>
            <w:tcW w:type="dxa" w:w="7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80"/>
            </w:tcMar>
          </w:tcPr>
          <w:p>
            <w:r>
              <w:rPr>
                <w:rFonts w:ascii="Arial" w:cs="Arial" w:eastAsia="Arial" w:hAnsi="Arial"/>
                <w:b/>
                <w:bCs/>
                <w:color w:val="C9A84C"/>
                <w:sz w:val="19"/>
                <w:szCs w:val="19"/>
              </w:rPr>
              <w:t xml:space="preserve">Contents</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80"/>
            </w:tcMar>
          </w:tcPr>
          <w:p>
            <w:r>
              <w:rPr>
                <w:rFonts w:ascii="Arial" w:cs="Arial" w:eastAsia="Arial" w:hAnsi="Arial"/>
                <w:b/>
                <w:bCs/>
                <w:color w:val="17375E"/>
                <w:sz w:val="18"/>
                <w:szCs w:val="18"/>
              </w:rPr>
              <w:t xml:space="preserve">README</w:t>
            </w:r>
          </w:p>
        </w:tc>
        <w:tc>
          <w:tcPr>
            <w:tcW w:type="dxa" w:w="73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80"/>
            </w:tcMar>
          </w:tcPr>
          <w:p>
            <w:r>
              <w:rPr>
                <w:rFonts w:ascii="Arial" w:cs="Arial" w:eastAsia="Arial" w:hAnsi="Arial"/>
                <w:sz w:val="18"/>
                <w:szCs w:val="18"/>
              </w:rPr>
              <w:t xml:space="preserve">Full project documentation: sources, methodology, colour-coding guide, CV bullets, assumptions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80"/>
            </w:tcMar>
          </w:tcPr>
          <w:p>
            <w:r>
              <w:rPr>
                <w:rFonts w:ascii="Arial" w:cs="Arial" w:eastAsia="Arial" w:hAnsi="Arial"/>
                <w:b/>
                <w:bCs/>
                <w:color w:val="17375E"/>
                <w:sz w:val="18"/>
                <w:szCs w:val="18"/>
              </w:rPr>
              <w:t xml:space="preserve">Raw_RSI</w:t>
            </w:r>
          </w:p>
        </w:tc>
        <w:tc>
          <w:tcPr>
            <w:tcW w:type="dxa" w:w="7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80"/>
            </w:tcMar>
          </w:tcPr>
          <w:p>
            <w:r>
              <w:rPr>
                <w:rFonts w:ascii="Arial" w:cs="Arial" w:eastAsia="Arial" w:hAnsi="Arial"/>
                <w:sz w:val="18"/>
                <w:szCs w:val="18"/>
              </w:rPr>
              <w:t xml:space="preserve">ONS Retail Sales Index — volume &amp; value data 2018–2026 (KPSA + CPSA1), untouched originals</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80"/>
            </w:tcMar>
          </w:tcPr>
          <w:p>
            <w:r>
              <w:rPr>
                <w:rFonts w:ascii="Arial" w:cs="Arial" w:eastAsia="Arial" w:hAnsi="Arial"/>
                <w:b/>
                <w:bCs/>
                <w:color w:val="17375E"/>
                <w:sz w:val="18"/>
                <w:szCs w:val="18"/>
              </w:rPr>
              <w:t xml:space="preserve">Raw_CPI</w:t>
            </w:r>
          </w:p>
        </w:tc>
        <w:tc>
          <w:tcPr>
            <w:tcW w:type="dxa" w:w="73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80"/>
            </w:tcMar>
          </w:tcPr>
          <w:p>
            <w:r>
              <w:rPr>
                <w:rFonts w:ascii="Arial" w:cs="Arial" w:eastAsia="Arial" w:hAnsi="Arial"/>
                <w:sz w:val="18"/>
                <w:szCs w:val="18"/>
              </w:rPr>
              <w:t xml:space="preserve">ONS Consumer Price Inflation — CPI YoY% D7G7 series, untouched original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80"/>
            </w:tcMar>
          </w:tcPr>
          <w:p>
            <w:r>
              <w:rPr>
                <w:rFonts w:ascii="Arial" w:cs="Arial" w:eastAsia="Arial" w:hAnsi="Arial"/>
                <w:b/>
                <w:bCs/>
                <w:color w:val="17375E"/>
                <w:sz w:val="18"/>
                <w:szCs w:val="18"/>
              </w:rPr>
              <w:t xml:space="preserve">Raw_BoE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80"/>
            </w:tcMar>
          </w:tcPr>
          <w:p>
            <w:r>
              <w:rPr>
                <w:rFonts w:ascii="Arial" w:cs="Arial" w:eastAsia="Arial" w:hAnsi="Arial"/>
                <w:sz w:val="18"/>
                <w:szCs w:val="18"/>
              </w:rPr>
              <w:t xml:space="preserve">Bank of England base rate, expanded to monthly by forward-fill from change dates</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80"/>
            </w:tcMar>
          </w:tcPr>
          <w:p>
            <w:r>
              <w:rPr>
                <w:rFonts w:ascii="Arial" w:cs="Arial" w:eastAsia="Arial" w:hAnsi="Arial"/>
                <w:b/>
                <w:bCs/>
                <w:color w:val="17375E"/>
                <w:sz w:val="18"/>
                <w:szCs w:val="18"/>
              </w:rPr>
              <w:t xml:space="preserve">Raw_AWE</w:t>
            </w:r>
          </w:p>
        </w:tc>
        <w:tc>
          <w:tcPr>
            <w:tcW w:type="dxa" w:w="73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80"/>
            </w:tcMar>
          </w:tcPr>
          <w:p>
            <w:r>
              <w:rPr>
                <w:rFonts w:ascii="Arial" w:cs="Arial" w:eastAsia="Arial" w:hAnsi="Arial"/>
                <w:sz w:val="18"/>
                <w:szCs w:val="18"/>
              </w:rPr>
              <w:t xml:space="preserve">ONS Average Weekly Earnings — KAC2 total pay YoY%, untouched original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80"/>
            </w:tcMar>
          </w:tcPr>
          <w:p>
            <w:r>
              <w:rPr>
                <w:rFonts w:ascii="Arial" w:cs="Arial" w:eastAsia="Arial" w:hAnsi="Arial"/>
                <w:b/>
                <w:bCs/>
                <w:color w:val="17375E"/>
                <w:sz w:val="18"/>
                <w:szCs w:val="18"/>
              </w:rPr>
              <w:t xml:space="preserve">Raw_GDP</w:t>
            </w:r>
          </w:p>
        </w:tc>
        <w:tc>
          <w:tcPr>
            <w:tcW w:type="dxa" w:w="7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80"/>
            </w:tcMar>
          </w:tcPr>
          <w:p>
            <w:r>
              <w:rPr>
                <w:rFonts w:ascii="Arial" w:cs="Arial" w:eastAsia="Arial" w:hAnsi="Arial"/>
                <w:sz w:val="18"/>
                <w:szCs w:val="18"/>
              </w:rPr>
              <w:t xml:space="preserve">ONS Monthly GDP — ECY2 GVA YoY%, untouched original</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80"/>
            </w:tcMar>
          </w:tcPr>
          <w:p>
            <w:r>
              <w:rPr>
                <w:rFonts w:ascii="Arial" w:cs="Arial" w:eastAsia="Arial" w:hAnsi="Arial"/>
                <w:b/>
                <w:bCs/>
                <w:color w:val="17375E"/>
                <w:sz w:val="18"/>
                <w:szCs w:val="18"/>
              </w:rPr>
              <w:t xml:space="preserve">Master</w:t>
            </w:r>
          </w:p>
        </w:tc>
        <w:tc>
          <w:tcPr>
            <w:tcW w:type="dxa" w:w="73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80"/>
            </w:tcMar>
          </w:tcPr>
          <w:p>
            <w:r>
              <w:rPr>
                <w:rFonts w:ascii="Arial" w:cs="Arial" w:eastAsia="Arial" w:hAnsi="Arial"/>
                <w:sz w:val="18"/>
                <w:szCs w:val="18"/>
              </w:rPr>
              <w:t xml:space="preserve">Cleaned, joined monthly dataset (100 rows). All analysis is built from this single table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80"/>
            </w:tcMar>
          </w:tcPr>
          <w:p>
            <w:r>
              <w:rPr>
                <w:rFonts w:ascii="Arial" w:cs="Arial" w:eastAsia="Arial" w:hAnsi="Arial"/>
                <w:b/>
                <w:bCs/>
                <w:color w:val="17375E"/>
                <w:sz w:val="18"/>
                <w:szCs w:val="18"/>
              </w:rPr>
              <w:t xml:space="preserve">Pivots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80"/>
            </w:tcMar>
          </w:tcPr>
          <w:p>
            <w:r>
              <w:rPr>
                <w:rFonts w:ascii="Arial" w:cs="Arial" w:eastAsia="Arial" w:hAnsi="Arial"/>
                <w:sz w:val="18"/>
                <w:szCs w:val="18"/>
              </w:rPr>
              <w:t xml:space="preserve">4 analysis tables: Annual Sector Summary, Online Penetration, Rate Lag, Sector Vulnerability</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80"/>
            </w:tcMar>
          </w:tcPr>
          <w:p>
            <w:r>
              <w:rPr>
                <w:rFonts w:ascii="Arial" w:cs="Arial" w:eastAsia="Arial" w:hAnsi="Arial"/>
                <w:b/>
                <w:bCs/>
                <w:color w:val="17375E"/>
                <w:sz w:val="18"/>
                <w:szCs w:val="18"/>
              </w:rPr>
              <w:t xml:space="preserve">Scenario_Model</w:t>
            </w:r>
          </w:p>
        </w:tc>
        <w:tc>
          <w:tcPr>
            <w:tcW w:type="dxa" w:w="73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80"/>
            </w:tcMar>
          </w:tcPr>
          <w:p>
            <w:r>
              <w:rPr>
                <w:rFonts w:ascii="Arial" w:cs="Arial" w:eastAsia="Arial" w:hAnsi="Arial"/>
                <w:sz w:val="18"/>
                <w:szCs w:val="18"/>
              </w:rPr>
              <w:t xml:space="preserve">What-if tool: 4 yellow inputs → sector projections, 9×9 sensitivity grid, 12-month forecast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80"/>
            </w:tcMar>
          </w:tcPr>
          <w:p>
            <w:r>
              <w:rPr>
                <w:rFonts w:ascii="Arial" w:cs="Arial" w:eastAsia="Arial" w:hAnsi="Arial"/>
                <w:b/>
                <w:bCs/>
                <w:color w:val="17375E"/>
                <w:sz w:val="18"/>
                <w:szCs w:val="18"/>
              </w:rPr>
              <w:t xml:space="preserve">Dashboard</w:t>
            </w:r>
          </w:p>
        </w:tc>
        <w:tc>
          <w:tcPr>
            <w:tcW w:type="dxa" w:w="7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80"/>
            </w:tcMar>
          </w:tcPr>
          <w:p>
            <w:r>
              <w:rPr>
                <w:rFonts w:ascii="Arial" w:cs="Arial" w:eastAsia="Arial" w:hAnsi="Arial"/>
                <w:sz w:val="18"/>
                <w:szCs w:val="18"/>
              </w:rPr>
              <w:t xml:space="preserve">Executive one-pager: 5 KPI tiles, 4 charts, CFO insight box, live scenario panel</w:t>
            </w:r>
          </w:p>
        </w:tc>
      </w:tr>
    </w:tbl>
    <w:p>
      <w:pPr>
        <w:spacing w:after="200"/>
      </w:pPr>
    </w:p>
    <w:p>
      <w:pPr>
        <w:shd w:fill="1F3864" w:val="clear"/>
        <w:spacing w:after="120" w:before="240"/>
        <w:ind w:left="120" w:right="120"/>
      </w:pPr>
      <w:r>
        <w:rPr>
          <w:rFonts w:ascii="Arial" w:cs="Arial" w:eastAsia="Arial" w:hAnsi="Arial"/>
          <w:b/>
          <w:bCs/>
          <w:color w:val="FFFFFF"/>
          <w:sz w:val="36"/>
          <w:szCs w:val="36"/>
        </w:rPr>
        <w:t xml:space="preserve">8.  Skills Demonstrated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00"/>
            </w:tcMar>
          </w:tcPr>
          <w:p>
            <w:r>
              <w:rPr>
                <w:rFonts w:ascii="Arial" w:cs="Arial" w:eastAsia="Arial" w:hAnsi="Arial"/>
                <w:b/>
                <w:bCs/>
                <w:color w:val="17375E"/>
                <w:sz w:val="19"/>
                <w:szCs w:val="19"/>
              </w:rPr>
              <w:t xml:space="preserve">Data Skills</w:t>
            </w:r>
          </w:p>
          <w:p>
            <w:pPr>
              <w:spacing w:before="60"/>
            </w:pPr>
            <w:r>
              <w:rPr>
                <w:rFonts w:ascii="Arial" w:cs="Arial" w:eastAsia="Arial" w:hAnsi="Arial"/>
                <w:color w:val="000000"/>
                <w:sz w:val="18"/>
                <w:szCs w:val="18"/>
              </w:rPr>
              <w:t xml:space="preserve">Sourcing &amp; downloading official UK government data • Cleaning and standardising multi-source time series • Date alignment and frequency normalisation • Forward-fill interpolation for event-driven series • Data integrity validation across 100 observations</w:t>
            </w:r>
          </w:p>
        </w:tc>
        <w:tc>
          <w:tcPr>
            <w:tcW w:type="dxa" w:w="4800"/>
            <w:tcBorders>
              <w:top w:val="single" w:color="CCCCCC" w:sz="1"/>
              <w:left w:val="single" w:color="CCCCCC" w:sz="1"/>
              <w:bottom w:val="single" w:color="CCCCCC" w:sz="1"/>
              <w:right w:val="single" w:color="CCCCCC" w:sz="1"/>
            </w:tcBorders>
            <w:shd w:fill="EEF4E8" w:val="clear"/>
            <w:tcMar>
              <w:top w:type="dxa" w:w="100"/>
              <w:left w:type="dxa" w:w="140"/>
              <w:bottom w:type="dxa" w:w="100"/>
              <w:right w:type="dxa" w:w="100"/>
            </w:tcMar>
          </w:tcPr>
          <w:p>
            <w:r>
              <w:rPr>
                <w:rFonts w:ascii="Arial" w:cs="Arial" w:eastAsia="Arial" w:hAnsi="Arial"/>
                <w:b/>
                <w:bCs/>
                <w:color w:val="1B5E20"/>
                <w:sz w:val="19"/>
                <w:szCs w:val="19"/>
              </w:rPr>
              <w:t xml:space="preserve">Analytical Skills</w:t>
            </w:r>
          </w:p>
          <w:p>
            <w:pPr>
              <w:spacing w:before="60"/>
            </w:pPr>
            <w:r>
              <w:rPr>
                <w:rFonts w:ascii="Arial" w:cs="Arial" w:eastAsia="Arial" w:hAnsi="Arial"/>
                <w:color w:val="000000"/>
                <w:sz w:val="18"/>
                <w:szCs w:val="18"/>
              </w:rPr>
              <w:t xml:space="preserve">Real vs. nominal decomposition • Lag correlation analysis • Weighted Z-score composite scoring • Cumulative index construction • Scenario and sensitivity modelling • Cross-sector comparative benchmarking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00"/>
            </w:tcMar>
          </w:tcPr>
          <w:p>
            <w:r>
              <w:rPr>
                <w:rFonts w:ascii="Arial" w:cs="Arial" w:eastAsia="Arial" w:hAnsi="Arial"/>
                <w:b/>
                <w:bCs/>
                <w:color w:val="17375E"/>
                <w:sz w:val="19"/>
                <w:szCs w:val="19"/>
              </w:rPr>
              <w:t xml:space="preserve">Excel / Technical Skills</w:t>
            </w:r>
          </w:p>
          <w:p>
            <w:pPr>
              <w:spacing w:before="60"/>
            </w:pPr>
            <w:r>
              <w:rPr>
                <w:rFonts w:ascii="Arial" w:cs="Arial" w:eastAsia="Arial" w:hAnsi="Arial"/>
                <w:color w:val="000000"/>
                <w:sz w:val="18"/>
                <w:szCs w:val="18"/>
              </w:rPr>
              <w:t xml:space="preserve">PivotTables, XLOOKUP, INDEX-MATCH, OFFSET, CORREL • Data Tables (2-variable) • Conditional formatting heat maps • Dynamic charts with 4 series • Cross-sheet formula architecture • 667 live formulas, zero errors</w:t>
            </w:r>
          </w:p>
        </w:tc>
        <w:tc>
          <w:tcPr>
            <w:tcW w:type="dxa" w:w="4800"/>
            <w:tcBorders>
              <w:top w:val="single" w:color="CCCCCC" w:sz="1"/>
              <w:left w:val="single" w:color="CCCCCC" w:sz="1"/>
              <w:bottom w:val="single" w:color="CCCCCC" w:sz="1"/>
              <w:right w:val="single" w:color="CCCCCC" w:sz="1"/>
            </w:tcBorders>
            <w:shd w:fill="EEF4E8" w:val="clear"/>
            <w:tcMar>
              <w:top w:type="dxa" w:w="100"/>
              <w:left w:type="dxa" w:w="140"/>
              <w:bottom w:type="dxa" w:w="100"/>
              <w:right w:type="dxa" w:w="100"/>
            </w:tcMar>
          </w:tcPr>
          <w:p>
            <w:r>
              <w:rPr>
                <w:rFonts w:ascii="Arial" w:cs="Arial" w:eastAsia="Arial" w:hAnsi="Arial"/>
                <w:b/>
                <w:bCs/>
                <w:color w:val="1B5E20"/>
                <w:sz w:val="19"/>
                <w:szCs w:val="19"/>
              </w:rPr>
              <w:t xml:space="preserve">Communication Skills</w:t>
            </w:r>
          </w:p>
          <w:p>
            <w:pPr>
              <w:spacing w:before="60"/>
            </w:pPr>
            <w:r>
              <w:rPr>
                <w:rFonts w:ascii="Arial" w:cs="Arial" w:eastAsia="Arial" w:hAnsi="Arial"/>
                <w:color w:val="000000"/>
                <w:sz w:val="18"/>
                <w:szCs w:val="18"/>
              </w:rPr>
              <w:t xml:space="preserve">Executive dashboard design • CFO-ready insight synthesis • Problem-statement framing • Methodology documentation • CV and LinkedIn bullet crafting • Visual hierarchy and colour coding</w:t>
            </w:r>
          </w:p>
        </w:tc>
      </w:tr>
    </w:tbl>
    <w:p>
      <w:pPr>
        <w:spacing w:after="200"/>
      </w:pPr>
    </w:p>
    <w:p>
      <w:pPr>
        <w:shd w:fill="1F3864" w:val="clear"/>
        <w:spacing w:after="120" w:before="240"/>
        <w:ind w:left="120" w:right="120"/>
      </w:pPr>
      <w:r>
        <w:rPr>
          <w:rFonts w:ascii="Arial" w:cs="Arial" w:eastAsia="Arial" w:hAnsi="Arial"/>
          <w:b/>
          <w:bCs/>
          <w:color w:val="FFFFFF"/>
          <w:sz w:val="36"/>
          <w:szCs w:val="36"/>
        </w:rPr>
        <w:t xml:space="preserve">9.  CV &amp; LinkedIn Ready Bullets</w:t>
      </w:r>
    </w:p>
    <w:p>
      <w:pPr>
        <w:spacing w:after="60"/>
      </w:pPr>
    </w:p>
    <w:p>
      <w:pPr>
        <w:pBdr>
          <w:bottom w:val="single" w:color="1F3864" w:sz="4" w:space="1"/>
        </w:pBdr>
        <w:spacing w:after="80" w:before="160"/>
      </w:pPr>
      <w:r>
        <w:rPr>
          <w:rFonts w:ascii="Arial" w:cs="Arial" w:eastAsia="Arial" w:hAnsi="Arial"/>
          <w:b/>
          <w:bCs/>
          <w:color w:val="1F3864"/>
          <w:sz w:val="22"/>
          <w:szCs w:val="22"/>
        </w:rPr>
        <w:t xml:space="preserve">CV Bullet (Long Form)</w:t>
      </w:r>
    </w:p>
    <w:p>
      <w:pPr>
        <w:pBdr>
          <w:left w:val="single" w:color="1F3864" w:sz="16" w:space="8"/>
        </w:pBdr>
        <w:shd w:fill="E8EEF4" w:val="clear"/>
        <w:spacing w:after="80" w:before="80"/>
        <w:ind w:left="180" w:right="180"/>
      </w:pPr>
      <w:r>
        <w:rPr>
          <w:rFonts w:ascii="Arial" w:cs="Arial" w:eastAsia="Arial" w:hAnsi="Arial"/>
          <w:sz w:val="19"/>
          <w:szCs w:val="19"/>
        </w:rPr>
        <w:t xml:space="preserve">Built an end-to-end Excel model linking ONS Retail Sales Index, CPI inflation (D7G7), Bank of England base rate and ONS Average Weekly Earnings data (Jan 2018–Apr 2026, 100 monthly observations) to quantify UK consumer spending sensitivity to monetary policy. Produced a sector vulnerability scorecard, lag correlation analysis, purchasing power index, interactive what-if scenario tool and executive dashboard — directly applicable to consumer-credit risk assessment, BNPL stress-testing and retail equity research.</w:t>
      </w:r>
    </w:p>
    <w:p>
      <w:pPr>
        <w:spacing w:after="80"/>
      </w:pPr>
    </w:p>
    <w:p>
      <w:pPr>
        <w:pBdr>
          <w:bottom w:val="single" w:color="1F3864" w:sz="4" w:space="1"/>
        </w:pBdr>
        <w:spacing w:after="80" w:before="160"/>
      </w:pPr>
      <w:r>
        <w:rPr>
          <w:rFonts w:ascii="Arial" w:cs="Arial" w:eastAsia="Arial" w:hAnsi="Arial"/>
          <w:b/>
          <w:bCs/>
          <w:color w:val="1F3864"/>
          <w:sz w:val="22"/>
          <w:szCs w:val="22"/>
        </w:rPr>
        <w:t xml:space="preserve">LinkedIn One-Liner</w:t>
      </w:r>
    </w:p>
    <w:p>
      <w:pPr>
        <w:pBdr>
          <w:left w:val="single" w:color="1F3864" w:sz="16" w:space="8"/>
        </w:pBdr>
        <w:shd w:fill="E8EEF4" w:val="clear"/>
        <w:spacing w:after="80" w:before="80"/>
        <w:ind w:left="180" w:right="180"/>
      </w:pPr>
      <w:r>
        <w:rPr>
          <w:rFonts w:ascii="Arial" w:cs="Arial" w:eastAsia="Arial" w:hAnsi="Arial"/>
          <w:sz w:val="19"/>
          <w:szCs w:val="19"/>
        </w:rPr>
        <w:t xml:space="preserve">Analysed 8+ years of UK ONS and Bank of England data in Excel to model how inflation and interest rates reshape retail spending — delivered a sector resilience scorecard, scenario tool and executive dashboard relevant to consumer-credit and BNPL risk modelling.</w:t>
      </w:r>
    </w:p>
    <w:p>
      <w:pPr>
        <w:spacing w:after="80"/>
      </w:pPr>
    </w:p>
    <w:p>
      <w:pPr>
        <w:pBdr>
          <w:bottom w:val="single" w:color="1F3864" w:sz="4" w:space="1"/>
        </w:pBdr>
        <w:spacing w:after="80" w:before="160"/>
      </w:pPr>
      <w:r>
        <w:rPr>
          <w:rFonts w:ascii="Arial" w:cs="Arial" w:eastAsia="Arial" w:hAnsi="Arial"/>
          <w:b/>
          <w:bCs/>
          <w:color w:val="1F3864"/>
          <w:sz w:val="22"/>
          <w:szCs w:val="22"/>
        </w:rPr>
        <w:t xml:space="preserve">GitHub README Tagline</w:t>
      </w:r>
    </w:p>
    <w:p>
      <w:pPr>
        <w:pBdr>
          <w:left w:val="single" w:color="1F3864" w:sz="16" w:space="8"/>
        </w:pBdr>
        <w:shd w:fill="E8EEF4" w:val="clear"/>
        <w:spacing w:after="80" w:before="80"/>
        <w:ind w:left="180" w:right="180"/>
      </w:pPr>
      <w:r>
        <w:rPr>
          <w:rFonts w:ascii="Arial" w:cs="Arial" w:eastAsia="Arial" w:hAnsi="Arial"/>
          <w:sz w:val="19"/>
          <w:szCs w:val="19"/>
        </w:rPr>
        <w:t xml:space="preserve">Excel model | ONS + BoE data | 2018–2026 | 100 monthly observations | Inflation, rates &amp; UK retail consumer spending | Sector vulnerability scorecard | What-if scenario model | Executive dashboard</w:t>
      </w:r>
    </w:p>
    <w:p>
      <w:pPr>
        <w:spacing w:after="200"/>
      </w:pPr>
    </w:p>
    <w:p>
      <w:pPr>
        <w:shd w:fill="1F3864" w:val="clear"/>
        <w:spacing w:after="120" w:before="240"/>
        <w:ind w:left="120" w:right="120"/>
      </w:pPr>
      <w:r>
        <w:rPr>
          <w:rFonts w:ascii="Arial" w:cs="Arial" w:eastAsia="Arial" w:hAnsi="Arial"/>
          <w:b/>
          <w:bCs/>
          <w:color w:val="FFFFFF"/>
          <w:sz w:val="36"/>
          <w:szCs w:val="36"/>
        </w:rPr>
        <w:t xml:space="preserve">10.  Relevance to Finance / FinTech Roles</w:t>
      </w:r>
    </w:p>
    <w:p>
      <w:pPr>
        <w:spacing w:after="60"/>
      </w:pPr>
    </w:p>
    <w:p>
      <w:pPr>
        <w:spacing w:after="60" w:before="60"/>
      </w:pPr>
      <w:r>
        <w:rPr>
          <w:rFonts w:ascii="Arial" w:cs="Arial" w:eastAsia="Arial" w:hAnsi="Arial"/>
          <w:color w:val="000000"/>
          <w:sz w:val="20"/>
          <w:szCs w:val="20"/>
        </w:rPr>
        <w:t xml:space="preserve">This project is designed to signal directly transferable skills to hiring managers and internal mobility panels in UK Finance and FinTech. The table below maps project components to typical job-specification keywords: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80"/>
            </w:tcMar>
          </w:tcPr>
          <w:p>
            <w:r>
              <w:rPr>
                <w:rFonts w:ascii="Arial" w:cs="Arial" w:eastAsia="Arial" w:hAnsi="Arial"/>
                <w:b/>
                <w:bCs/>
                <w:color w:val="C9A84C"/>
                <w:sz w:val="19"/>
                <w:szCs w:val="19"/>
              </w:rPr>
              <w:t xml:space="preserve">Job-Spec Keyword</w:t>
            </w:r>
          </w:p>
        </w:tc>
        <w:tc>
          <w:tcPr>
            <w:tcW w:type="dxa" w:w="5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80"/>
            </w:tcMar>
          </w:tcPr>
          <w:p>
            <w:r>
              <w:rPr>
                <w:rFonts w:ascii="Arial" w:cs="Arial" w:eastAsia="Arial" w:hAnsi="Arial"/>
                <w:b/>
                <w:bCs/>
                <w:color w:val="C9A84C"/>
                <w:sz w:val="19"/>
                <w:szCs w:val="19"/>
              </w:rPr>
              <w:t xml:space="preserve">Evidenced By</w:t>
            </w:r>
          </w:p>
        </w:tc>
      </w:tr>
      <w:tr>
        <w:tc>
          <w:tcPr>
            <w:tcW w:type="dxa" w:w="38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80"/>
            </w:tcMar>
          </w:tcPr>
          <w:p>
            <w:r>
              <w:rPr>
                <w:rFonts w:ascii="Arial" w:cs="Arial" w:eastAsia="Arial" w:hAnsi="Arial"/>
                <w:b/>
                <w:bCs/>
                <w:color w:val="17375E"/>
                <w:sz w:val="18"/>
                <w:szCs w:val="18"/>
              </w:rPr>
              <w:t xml:space="preserve">Credit-risk forecasting</w:t>
            </w:r>
          </w:p>
        </w:tc>
        <w:tc>
          <w:tcPr>
            <w:tcW w:type="dxa" w:w="55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80"/>
            </w:tcMar>
          </w:tcPr>
          <w:p>
            <w:r>
              <w:rPr>
                <w:rFonts w:ascii="Arial" w:cs="Arial" w:eastAsia="Arial" w:hAnsi="Arial"/>
                <w:sz w:val="18"/>
                <w:szCs w:val="18"/>
              </w:rPr>
              <w:t xml:space="preserve">Rate pass-through lag model; purchasing power gap as arrears leading indicator</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80"/>
            </w:tcMar>
          </w:tcPr>
          <w:p>
            <w:r>
              <w:rPr>
                <w:rFonts w:ascii="Arial" w:cs="Arial" w:eastAsia="Arial" w:hAnsi="Arial"/>
                <w:b/>
                <w:bCs/>
                <w:color w:val="17375E"/>
                <w:sz w:val="18"/>
                <w:szCs w:val="18"/>
              </w:rPr>
              <w:t xml:space="preserve">Portfolio stress-testing</w:t>
            </w:r>
          </w:p>
        </w:tc>
        <w:tc>
          <w:tcPr>
            <w:tcW w:type="dxa" w:w="5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80"/>
            </w:tcMar>
          </w:tcPr>
          <w:p>
            <w:r>
              <w:rPr>
                <w:rFonts w:ascii="Arial" w:cs="Arial" w:eastAsia="Arial" w:hAnsi="Arial"/>
                <w:sz w:val="18"/>
                <w:szCs w:val="18"/>
              </w:rPr>
              <w:t xml:space="preserve">9×9 sensitivity grid; rate × CPI scenario analysis across all retail sectors</w:t>
            </w:r>
          </w:p>
        </w:tc>
      </w:tr>
      <w:tr>
        <w:tc>
          <w:tcPr>
            <w:tcW w:type="dxa" w:w="38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80"/>
            </w:tcMar>
          </w:tcPr>
          <w:p>
            <w:r>
              <w:rPr>
                <w:rFonts w:ascii="Arial" w:cs="Arial" w:eastAsia="Arial" w:hAnsi="Arial"/>
                <w:b/>
                <w:bCs/>
                <w:color w:val="17375E"/>
                <w:sz w:val="18"/>
                <w:szCs w:val="18"/>
              </w:rPr>
              <w:t xml:space="preserve">Consumer-trend research</w:t>
            </w:r>
          </w:p>
        </w:tc>
        <w:tc>
          <w:tcPr>
            <w:tcW w:type="dxa" w:w="55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80"/>
            </w:tcMar>
          </w:tcPr>
          <w:p>
            <w:r>
              <w:rPr>
                <w:rFonts w:ascii="Arial" w:cs="Arial" w:eastAsia="Arial" w:hAnsi="Arial"/>
                <w:sz w:val="18"/>
                <w:szCs w:val="18"/>
              </w:rPr>
              <w:t xml:space="preserve">8-year ONS retail volume series; structural online shift quantification</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80"/>
            </w:tcMar>
          </w:tcPr>
          <w:p>
            <w:r>
              <w:rPr>
                <w:rFonts w:ascii="Arial" w:cs="Arial" w:eastAsia="Arial" w:hAnsi="Arial"/>
                <w:b/>
                <w:bCs/>
                <w:color w:val="17375E"/>
                <w:sz w:val="18"/>
                <w:szCs w:val="18"/>
              </w:rPr>
              <w:t xml:space="preserve">Data sourcing &amp; wrangling</w:t>
            </w:r>
          </w:p>
        </w:tc>
        <w:tc>
          <w:tcPr>
            <w:tcW w:type="dxa" w:w="5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80"/>
            </w:tcMar>
          </w:tcPr>
          <w:p>
            <w:r>
              <w:rPr>
                <w:rFonts w:ascii="Arial" w:cs="Arial" w:eastAsia="Arial" w:hAnsi="Arial"/>
                <w:sz w:val="18"/>
                <w:szCs w:val="18"/>
              </w:rPr>
              <w:t xml:space="preserve">5 official UK datasets downloaded, cleaned, joined, and validated</w:t>
            </w:r>
          </w:p>
        </w:tc>
      </w:tr>
      <w:tr>
        <w:tc>
          <w:tcPr>
            <w:tcW w:type="dxa" w:w="38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80"/>
            </w:tcMar>
          </w:tcPr>
          <w:p>
            <w:r>
              <w:rPr>
                <w:rFonts w:ascii="Arial" w:cs="Arial" w:eastAsia="Arial" w:hAnsi="Arial"/>
                <w:b/>
                <w:bCs/>
                <w:color w:val="17375E"/>
                <w:sz w:val="18"/>
                <w:szCs w:val="18"/>
              </w:rPr>
              <w:t xml:space="preserve">Advanced Excel</w:t>
            </w:r>
          </w:p>
        </w:tc>
        <w:tc>
          <w:tcPr>
            <w:tcW w:type="dxa" w:w="55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80"/>
            </w:tcMar>
          </w:tcPr>
          <w:p>
            <w:r>
              <w:rPr>
                <w:rFonts w:ascii="Arial" w:cs="Arial" w:eastAsia="Arial" w:hAnsi="Arial"/>
                <w:sz w:val="18"/>
                <w:szCs w:val="18"/>
              </w:rPr>
              <w:t xml:space="preserve">PivotTables, XLOOKUP, CORREL, Data Tables, Conditional Formatting, 667 formulas</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80"/>
            </w:tcMar>
          </w:tcPr>
          <w:p>
            <w:r>
              <w:rPr>
                <w:rFonts w:ascii="Arial" w:cs="Arial" w:eastAsia="Arial" w:hAnsi="Arial"/>
                <w:b/>
                <w:bCs/>
                <w:color w:val="17375E"/>
                <w:sz w:val="18"/>
                <w:szCs w:val="18"/>
              </w:rPr>
              <w:t xml:space="preserve">Quantitative analysis</w:t>
            </w:r>
          </w:p>
        </w:tc>
        <w:tc>
          <w:tcPr>
            <w:tcW w:type="dxa" w:w="5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80"/>
            </w:tcMar>
          </w:tcPr>
          <w:p>
            <w:r>
              <w:rPr>
                <w:rFonts w:ascii="Arial" w:cs="Arial" w:eastAsia="Arial" w:hAnsi="Arial"/>
                <w:sz w:val="18"/>
                <w:szCs w:val="18"/>
              </w:rPr>
              <w:t xml:space="preserve">Z-scores, lag correlations, index construction, real vs. nominal decomposition</w:t>
            </w:r>
          </w:p>
        </w:tc>
      </w:tr>
      <w:tr>
        <w:tc>
          <w:tcPr>
            <w:tcW w:type="dxa" w:w="38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80"/>
            </w:tcMar>
          </w:tcPr>
          <w:p>
            <w:r>
              <w:rPr>
                <w:rFonts w:ascii="Arial" w:cs="Arial" w:eastAsia="Arial" w:hAnsi="Arial"/>
                <w:b/>
                <w:bCs/>
                <w:color w:val="17375E"/>
                <w:sz w:val="18"/>
                <w:szCs w:val="18"/>
              </w:rPr>
              <w:t xml:space="preserve">Data visualisation</w:t>
            </w:r>
          </w:p>
        </w:tc>
        <w:tc>
          <w:tcPr>
            <w:tcW w:type="dxa" w:w="55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80"/>
            </w:tcMar>
          </w:tcPr>
          <w:p>
            <w:r>
              <w:rPr>
                <w:rFonts w:ascii="Arial" w:cs="Arial" w:eastAsia="Arial" w:hAnsi="Arial"/>
                <w:sz w:val="18"/>
                <w:szCs w:val="18"/>
              </w:rPr>
              <w:t xml:space="preserve">4-chart professional dashboard with KPI tiles and CFO insight synthesis</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80"/>
            </w:tcMar>
          </w:tcPr>
          <w:p>
            <w:r>
              <w:rPr>
                <w:rFonts w:ascii="Arial" w:cs="Arial" w:eastAsia="Arial" w:hAnsi="Arial"/>
                <w:b/>
                <w:bCs/>
                <w:color w:val="17375E"/>
                <w:sz w:val="18"/>
                <w:szCs w:val="18"/>
              </w:rPr>
              <w:t xml:space="preserve">Stakeholder communication</w:t>
            </w:r>
          </w:p>
        </w:tc>
        <w:tc>
          <w:tcPr>
            <w:tcW w:type="dxa" w:w="5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80"/>
            </w:tcMar>
          </w:tcPr>
          <w:p>
            <w:r>
              <w:rPr>
                <w:rFonts w:ascii="Arial" w:cs="Arial" w:eastAsia="Arial" w:hAnsi="Arial"/>
                <w:sz w:val="18"/>
                <w:szCs w:val="18"/>
              </w:rPr>
              <w:t xml:space="preserve">One-page executive dashboard; 30-second CFO insight box; scenario model narrative</w:t>
            </w:r>
          </w:p>
        </w:tc>
      </w:tr>
    </w:tbl>
    <w:p>
      <w:pPr>
        <w:spacing w:after="200"/>
      </w:pPr>
    </w:p>
    <w:p>
      <w:pPr>
        <w:pBdr>
          <w:top w:val="single" w:color="1F3864" w:sz="6" w:space="8"/>
        </w:pBdr>
        <w:spacing w:after="60" w:before="40"/>
      </w:pPr>
    </w:p>
    <w:p>
      <w:pPr>
        <w:jc w:val="center"/>
      </w:pPr>
      <w:r>
        <w:rPr>
          <w:rFonts w:ascii="Arial" w:cs="Arial" w:eastAsia="Arial" w:hAnsi="Arial"/>
          <w:color w:val="888888"/>
          <w:sz w:val="16"/>
          <w:szCs w:val="16"/>
        </w:rPr>
        <w:t xml:space="preserve">Document prepared by Arshad Advisory  ·  Portfolio &amp; Career Development  ·  All data sourced from ONS &amp; Bank of England (UK Open Government Licence v3.0)</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UK Retail Resilience  —  Project Documentation  —  Arshad Advisory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2026-06-15T23:35:11.282Z</dcterms:created>
  <dcterms:modified xsi:type="dcterms:W3CDTF">2026-06-15T23:35:11.282Z</dcterms:modified>
</cp:coreProperties>
</file>

<file path=docProps/custom.xml><?xml version="1.0" encoding="utf-8"?>
<Properties xmlns="http://schemas.openxmlformats.org/officeDocument/2006/custom-properties" xmlns:vt="http://schemas.openxmlformats.org/officeDocument/2006/docPropsVTypes"/>
</file>