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74FFC" w14:textId="3A9D3081" w:rsidR="00237C44" w:rsidRDefault="00000000">
      <w:pPr>
        <w:spacing w:before="80" w:after="42"/>
        <w:jc w:val="center"/>
      </w:pPr>
      <w:r>
        <w:rPr>
          <w:b/>
          <w:bCs/>
          <w:color w:val="0D4F8B"/>
          <w:sz w:val="30"/>
          <w:szCs w:val="30"/>
        </w:rPr>
        <w:t>Clinical Natural Language Technology</w:t>
      </w:r>
      <w:r w:rsidR="00C05A2D">
        <w:rPr>
          <w:b/>
          <w:bCs/>
          <w:color w:val="0D4F8B"/>
          <w:sz w:val="30"/>
          <w:szCs w:val="30"/>
        </w:rPr>
        <w:t xml:space="preserve"> </w:t>
      </w:r>
      <w:r>
        <w:rPr>
          <w:b/>
          <w:bCs/>
          <w:color w:val="0D4F8B"/>
          <w:sz w:val="30"/>
          <w:szCs w:val="30"/>
        </w:rPr>
        <w:t>for Health Care:</w:t>
      </w:r>
    </w:p>
    <w:p w14:paraId="775436FB" w14:textId="77777777" w:rsidR="00237C44" w:rsidRDefault="00000000">
      <w:pPr>
        <w:spacing w:after="35"/>
        <w:jc w:val="center"/>
      </w:pPr>
      <w:r>
        <w:rPr>
          <w:i/>
          <w:iCs/>
          <w:color w:val="1A6BB5"/>
        </w:rPr>
        <w:t>Past, Present, and Future Approaches Across NLP, OCR, Computer Vision, LLMs, and LMMs</w:t>
      </w:r>
    </w:p>
    <w:p w14:paraId="74CE437A" w14:textId="77777777" w:rsidR="00237C44" w:rsidRDefault="00000000">
      <w:pPr>
        <w:spacing w:after="105"/>
        <w:jc w:val="center"/>
      </w:pPr>
      <w:r>
        <w:rPr>
          <w:color w:val="666666"/>
          <w:sz w:val="18"/>
          <w:szCs w:val="18"/>
        </w:rPr>
        <w:t>Arshad Naguru  •  MS Artificial Intelligence, Rochester Institute of Technology  •  June 2026</w:t>
      </w:r>
    </w:p>
    <w:p w14:paraId="27FF88BF" w14:textId="77777777" w:rsidR="00237C44" w:rsidRDefault="00000000" w:rsidP="00425DFC">
      <w:pPr>
        <w:pBdr>
          <w:bottom w:val="single" w:sz="4" w:space="1" w:color="00A8CC"/>
        </w:pBdr>
        <w:spacing w:before="105" w:after="52"/>
      </w:pPr>
      <w:r>
        <w:rPr>
          <w:b/>
          <w:bCs/>
          <w:color w:val="0D4F8B"/>
          <w:sz w:val="23"/>
          <w:szCs w:val="23"/>
        </w:rPr>
        <w:t>1. Concept Definition</w:t>
      </w:r>
    </w:p>
    <w:p w14:paraId="1979E5BE" w14:textId="3EA58D6D" w:rsidR="00494658" w:rsidRDefault="00494658" w:rsidP="00B66644">
      <w:pPr>
        <w:spacing w:before="105" w:after="52"/>
        <w:jc w:val="both"/>
      </w:pPr>
      <w:r>
        <w:t>Clinical natural language technology refers to the application of computational methods that enable machines to read, interpret, and generate human language in healthcare contexts. Its primary purpose is to transform unstructured clinical data</w:t>
      </w:r>
      <w:r w:rsidR="00B66644">
        <w:t xml:space="preserve"> - </w:t>
      </w:r>
      <w:r>
        <w:t>including physician notes, discharge summaries, radiology reports, operative records, and patient-reported outcomes</w:t>
      </w:r>
      <w:r w:rsidR="00B66644">
        <w:t xml:space="preserve"> - </w:t>
      </w:r>
      <w:r>
        <w:t xml:space="preserve">into structured, actionable information that supports clinical decision-making, administrative workflows, and payment operations. Approximately </w:t>
      </w:r>
      <w:r w:rsidRPr="00494658">
        <w:rPr>
          <w:b/>
          <w:bCs/>
          <w:color w:val="0D4F8B"/>
        </w:rPr>
        <w:t>80% of healthcare data exists in unstructured form</w:t>
      </w:r>
      <w:r>
        <w:t xml:space="preserve">, and with </w:t>
      </w:r>
      <w:r w:rsidRPr="00494658">
        <w:rPr>
          <w:b/>
          <w:bCs/>
          <w:color w:val="0D4F8B"/>
        </w:rPr>
        <w:t>96% of U.S. hospitals using certified Electronic Health Record (EHR) systems</w:t>
      </w:r>
      <w:r>
        <w:t xml:space="preserve">, extracting meaningful insights from clinical documentation has become a critical challenge (Market.us, 2025; </w:t>
      </w:r>
      <w:proofErr w:type="spellStart"/>
      <w:r>
        <w:t>MarketDataForecast</w:t>
      </w:r>
      <w:proofErr w:type="spellEnd"/>
      <w:r>
        <w:t xml:space="preserve">, 2025). For organizations such as </w:t>
      </w:r>
      <w:r w:rsidRPr="00494658">
        <w:rPr>
          <w:b/>
          <w:bCs/>
          <w:color w:val="0D4F8B"/>
        </w:rPr>
        <w:t>Cotiviti</w:t>
      </w:r>
      <w:r>
        <w:t>, these capabilities can improve payment integrity by automating clinical documentation review, validating claims, and identifying coding inconsistencies.</w:t>
      </w:r>
    </w:p>
    <w:p w14:paraId="60087713" w14:textId="2080246A" w:rsidR="00494658" w:rsidRDefault="00494658" w:rsidP="00B66644">
      <w:pPr>
        <w:spacing w:before="105" w:after="52"/>
        <w:jc w:val="both"/>
      </w:pPr>
      <w:r>
        <w:t xml:space="preserve">The field has evolved through three distinct eras. </w:t>
      </w:r>
      <w:r w:rsidR="0028123F">
        <w:rPr>
          <w:b/>
          <w:bCs/>
          <w:color w:val="0D4F8B"/>
        </w:rPr>
        <w:t>R</w:t>
      </w:r>
      <w:r w:rsidRPr="00494658">
        <w:rPr>
          <w:b/>
          <w:bCs/>
          <w:color w:val="0D4F8B"/>
        </w:rPr>
        <w:t>ule-based systems</w:t>
      </w:r>
      <w:r w:rsidRPr="00494658">
        <w:rPr>
          <w:color w:val="0D4F8B"/>
        </w:rPr>
        <w:t xml:space="preserve"> </w:t>
      </w:r>
      <w:r>
        <w:t xml:space="preserve">(1990s–2000s), including </w:t>
      </w:r>
      <w:proofErr w:type="spellStart"/>
      <w:r>
        <w:t>MetaMap</w:t>
      </w:r>
      <w:proofErr w:type="spellEnd"/>
      <w:r>
        <w:t xml:space="preserve"> (Aronson &amp; Lang, 2010) and </w:t>
      </w:r>
      <w:proofErr w:type="spellStart"/>
      <w:r>
        <w:t>cTAKES</w:t>
      </w:r>
      <w:proofErr w:type="spellEnd"/>
      <w:r>
        <w:t xml:space="preserve"> (Savova et al., 2010), relied on curated medical ontologies and handcrafted rules to identify clinical entities but struggled with spelling variations and evolving medical terminology. The </w:t>
      </w:r>
      <w:r w:rsidR="00F57283">
        <w:rPr>
          <w:b/>
          <w:bCs/>
          <w:color w:val="0D4F8B"/>
        </w:rPr>
        <w:t>s</w:t>
      </w:r>
      <w:r w:rsidRPr="00494658">
        <w:rPr>
          <w:b/>
          <w:bCs/>
          <w:color w:val="0D4F8B"/>
        </w:rPr>
        <w:t xml:space="preserve">tatistical </w:t>
      </w:r>
      <w:r w:rsidR="00F57283">
        <w:rPr>
          <w:b/>
          <w:bCs/>
          <w:color w:val="0D4F8B"/>
        </w:rPr>
        <w:t>m</w:t>
      </w:r>
      <w:r>
        <w:rPr>
          <w:b/>
          <w:bCs/>
          <w:color w:val="0D4F8B"/>
        </w:rPr>
        <w:t>a</w:t>
      </w:r>
      <w:r w:rsidRPr="00494658">
        <w:rPr>
          <w:b/>
          <w:bCs/>
          <w:color w:val="0D4F8B"/>
        </w:rPr>
        <w:t xml:space="preserve">chine </w:t>
      </w:r>
      <w:r w:rsidR="00F57283">
        <w:rPr>
          <w:b/>
          <w:bCs/>
          <w:color w:val="0D4F8B"/>
        </w:rPr>
        <w:t>l</w:t>
      </w:r>
      <w:r w:rsidRPr="00494658">
        <w:rPr>
          <w:b/>
          <w:bCs/>
          <w:color w:val="0D4F8B"/>
        </w:rPr>
        <w:t>earning era</w:t>
      </w:r>
      <w:r w:rsidRPr="00494658">
        <w:rPr>
          <w:color w:val="0D4F8B"/>
        </w:rPr>
        <w:t xml:space="preserve"> </w:t>
      </w:r>
      <w:r>
        <w:t xml:space="preserve">(2010s) introduced CRFs and SVMs trained on annotated datasets such as i2b2, improving generalization across diverse clinical documents. The current </w:t>
      </w:r>
      <w:r w:rsidR="00F57283">
        <w:rPr>
          <w:b/>
          <w:bCs/>
          <w:color w:val="0D4F8B"/>
        </w:rPr>
        <w:t>t</w:t>
      </w:r>
      <w:r w:rsidRPr="00494658">
        <w:rPr>
          <w:b/>
          <w:bCs/>
          <w:color w:val="0D4F8B"/>
        </w:rPr>
        <w:t>ransformer era</w:t>
      </w:r>
      <w:r>
        <w:t xml:space="preserve"> began with BERT (Devlin et al., 2019) and advanced through </w:t>
      </w:r>
      <w:proofErr w:type="spellStart"/>
      <w:r>
        <w:t>BioBERT</w:t>
      </w:r>
      <w:proofErr w:type="spellEnd"/>
      <w:r>
        <w:t xml:space="preserve">, </w:t>
      </w:r>
      <w:proofErr w:type="spellStart"/>
      <w:r>
        <w:t>ClinicalBERT</w:t>
      </w:r>
      <w:proofErr w:type="spellEnd"/>
      <w:r>
        <w:t xml:space="preserve">, and </w:t>
      </w:r>
      <w:proofErr w:type="spellStart"/>
      <w:r>
        <w:t>PubMedBERT</w:t>
      </w:r>
      <w:proofErr w:type="spellEnd"/>
      <w:r>
        <w:t xml:space="preserve">, achieving state-of-the-art performance in clinical NLP tasks including named entity recognition, relation extraction, and ICD-10 classification (Lee et al., 2020). Today, </w:t>
      </w:r>
      <w:r w:rsidR="00F57283">
        <w:t>l</w:t>
      </w:r>
      <w:r>
        <w:t xml:space="preserve">arge </w:t>
      </w:r>
      <w:r w:rsidR="00F57283">
        <w:t>l</w:t>
      </w:r>
      <w:r>
        <w:t xml:space="preserve">anguage </w:t>
      </w:r>
      <w:r w:rsidR="00F57283">
        <w:t>m</w:t>
      </w:r>
      <w:r>
        <w:t xml:space="preserve">odels (LLMs) and </w:t>
      </w:r>
      <w:r w:rsidR="00F57283">
        <w:t>l</w:t>
      </w:r>
      <w:r>
        <w:t xml:space="preserve">arge </w:t>
      </w:r>
      <w:r w:rsidR="00F57283">
        <w:t>m</w:t>
      </w:r>
      <w:r>
        <w:t xml:space="preserve">ultimodal </w:t>
      </w:r>
      <w:r w:rsidR="00F57283">
        <w:t>m</w:t>
      </w:r>
      <w:r>
        <w:t>odels (LMMs), such as Med-</w:t>
      </w:r>
      <w:proofErr w:type="spellStart"/>
      <w:r>
        <w:t>PaLM</w:t>
      </w:r>
      <w:proofErr w:type="spellEnd"/>
      <w:r>
        <w:t xml:space="preserve"> 2 and Med-Gemini, further extend these capabilities to</w:t>
      </w:r>
      <w:r w:rsidRPr="00F57283">
        <w:rPr>
          <w:b/>
          <w:bCs/>
        </w:rPr>
        <w:t xml:space="preserve"> </w:t>
      </w:r>
      <w:r w:rsidRPr="00F57283">
        <w:rPr>
          <w:b/>
          <w:bCs/>
          <w:color w:val="0D4F8B"/>
        </w:rPr>
        <w:t>clinical reasoning</w:t>
      </w:r>
      <w:r w:rsidRPr="00F57283">
        <w:rPr>
          <w:b/>
          <w:bCs/>
        </w:rPr>
        <w:t xml:space="preserve">, </w:t>
      </w:r>
      <w:r w:rsidRPr="00F57283">
        <w:rPr>
          <w:b/>
          <w:bCs/>
          <w:color w:val="0D4F8B"/>
        </w:rPr>
        <w:t>document summarization</w:t>
      </w:r>
      <w:r>
        <w:t xml:space="preserve">, question answering, and </w:t>
      </w:r>
      <w:r w:rsidRPr="00F57283">
        <w:rPr>
          <w:b/>
          <w:bCs/>
          <w:color w:val="0D4F8B"/>
        </w:rPr>
        <w:t>multimodal analysis</w:t>
      </w:r>
      <w:r w:rsidRPr="00F57283">
        <w:rPr>
          <w:color w:val="0D4F8B"/>
        </w:rPr>
        <w:t xml:space="preserve"> </w:t>
      </w:r>
      <w:r>
        <w:t>by combining clinical text with medical images, enabling more intelligent and scalable healthcare AI systems.</w:t>
      </w:r>
    </w:p>
    <w:p w14:paraId="19E53578" w14:textId="6AC343AF" w:rsidR="00237C44" w:rsidRDefault="00000000" w:rsidP="00425DFC">
      <w:pPr>
        <w:pBdr>
          <w:bottom w:val="single" w:sz="4" w:space="1" w:color="00A8CC"/>
        </w:pBdr>
        <w:spacing w:before="105" w:after="52"/>
      </w:pPr>
      <w:r>
        <w:rPr>
          <w:b/>
          <w:bCs/>
          <w:color w:val="0D4F8B"/>
          <w:sz w:val="23"/>
          <w:szCs w:val="23"/>
        </w:rPr>
        <w:t>2. Relevant Trends</w:t>
      </w:r>
    </w:p>
    <w:p w14:paraId="09410521" w14:textId="5113C74A" w:rsidR="00237C44" w:rsidRDefault="00494658">
      <w:pPr>
        <w:spacing w:after="70" w:line="264" w:lineRule="auto"/>
        <w:jc w:val="both"/>
      </w:pPr>
      <w:r w:rsidRPr="00494658">
        <w:t>Three technology and healthcare trends are accelerating the adoption of Clinical NLP across payer and provider organizations.</w:t>
      </w:r>
    </w:p>
    <w:p w14:paraId="1E6E6FDF" w14:textId="3FCB9CA4" w:rsidR="00237C44" w:rsidRDefault="00000000" w:rsidP="00B66644">
      <w:pPr>
        <w:pStyle w:val="ListParagraph"/>
        <w:numPr>
          <w:ilvl w:val="0"/>
          <w:numId w:val="2"/>
        </w:numPr>
        <w:spacing w:before="14" w:after="28" w:line="264" w:lineRule="auto"/>
        <w:jc w:val="both"/>
      </w:pPr>
      <w:r>
        <w:rPr>
          <w:b/>
          <w:bCs/>
          <w:color w:val="0D4F8B"/>
        </w:rPr>
        <w:t>Market Expans</w:t>
      </w:r>
      <w:r w:rsidR="00494658">
        <w:rPr>
          <w:b/>
          <w:bCs/>
          <w:color w:val="0D4F8B"/>
        </w:rPr>
        <w:t>ion</w:t>
      </w:r>
      <w:r w:rsidR="00494658" w:rsidRPr="00494658">
        <w:rPr>
          <w:b/>
          <w:bCs/>
          <w:color w:val="0D4F8B"/>
        </w:rPr>
        <w:t xml:space="preserve"> and AI</w:t>
      </w:r>
      <w:r w:rsidR="00B66644">
        <w:rPr>
          <w:b/>
          <w:bCs/>
          <w:color w:val="0D4F8B"/>
        </w:rPr>
        <w:t>-</w:t>
      </w:r>
      <w:r w:rsidR="00494658" w:rsidRPr="00494658">
        <w:rPr>
          <w:b/>
          <w:bCs/>
          <w:color w:val="0D4F8B"/>
        </w:rPr>
        <w:t>driven Payment Integrity</w:t>
      </w:r>
      <w:r>
        <w:rPr>
          <w:b/>
          <w:bCs/>
          <w:color w:val="0D4F8B"/>
        </w:rPr>
        <w:t>.</w:t>
      </w:r>
      <w:r>
        <w:t xml:space="preserve"> The clinical NLP market is projected to grow from $5.18 billion in 2025 to $16.01 billion by 2030 (CAGR: 25.3%), driven by demand to extract actionable insights from unstructured EHR data and automate documentation-heavy workflows (</w:t>
      </w:r>
      <w:proofErr w:type="spellStart"/>
      <w:r>
        <w:t>MarketsandMarkets</w:t>
      </w:r>
      <w:proofErr w:type="spellEnd"/>
      <w:r>
        <w:t>, 2025).</w:t>
      </w:r>
    </w:p>
    <w:p w14:paraId="0DC69049" w14:textId="08831843" w:rsidR="00237C44" w:rsidRDefault="00000000" w:rsidP="00B66644">
      <w:pPr>
        <w:pStyle w:val="ListParagraph"/>
        <w:numPr>
          <w:ilvl w:val="0"/>
          <w:numId w:val="2"/>
        </w:numPr>
        <w:spacing w:before="14" w:after="28" w:line="264" w:lineRule="auto"/>
        <w:jc w:val="both"/>
      </w:pPr>
      <w:r>
        <w:rPr>
          <w:b/>
          <w:bCs/>
          <w:color w:val="0D4F8B"/>
        </w:rPr>
        <w:t>Physician Burnout and Ambient AI Scribes.</w:t>
      </w:r>
      <w:r>
        <w:t xml:space="preserve"> Physicians spend nearly 49% of their workday on EHR documentation, contributing to burnout affecting over 50% of practicing physicians. Ambient AI scribes </w:t>
      </w:r>
      <w:r w:rsidR="00C71D08">
        <w:t>-</w:t>
      </w:r>
      <w:r>
        <w:t xml:space="preserve"> Nuance Dragon Ambient </w:t>
      </w:r>
      <w:proofErr w:type="spellStart"/>
      <w:r>
        <w:t>eXperience</w:t>
      </w:r>
      <w:proofErr w:type="spellEnd"/>
      <w:r>
        <w:t xml:space="preserve"> (DAX) Copilot and Abridge </w:t>
      </w:r>
      <w:r w:rsidR="00C71D08">
        <w:t>-</w:t>
      </w:r>
      <w:r>
        <w:t xml:space="preserve"> use LLMs and ambient listening to automatically generate structured visit notes from real-time clinician-patient conversations, integrating into Epic and Cerner EHR platforms (Haberle et al., 2024; Grand View Research, 2025).</w:t>
      </w:r>
    </w:p>
    <w:p w14:paraId="159A04EF" w14:textId="77777777" w:rsidR="00237C44" w:rsidRDefault="00000000" w:rsidP="00B66644">
      <w:pPr>
        <w:pStyle w:val="ListParagraph"/>
        <w:numPr>
          <w:ilvl w:val="0"/>
          <w:numId w:val="2"/>
        </w:numPr>
        <w:spacing w:before="14" w:after="28" w:line="264" w:lineRule="auto"/>
        <w:jc w:val="both"/>
      </w:pPr>
      <w:r>
        <w:rPr>
          <w:b/>
          <w:bCs/>
          <w:color w:val="0D4F8B"/>
        </w:rPr>
        <w:t>LLM Dominance and Multimodal AI.</w:t>
      </w:r>
      <w:r>
        <w:t xml:space="preserve"> For the first time in 2024, LLMs emerged as the most prominent model type in healthcare AI research with 479 publications. Med-</w:t>
      </w:r>
      <w:proofErr w:type="spellStart"/>
      <w:r>
        <w:t>PaLM</w:t>
      </w:r>
      <w:proofErr w:type="spellEnd"/>
      <w:r>
        <w:t xml:space="preserve"> 2 achieved 86.5% accuracy on USMLE-style questions, reaching expert-level performance, while multimodal models such as Med-Gemini integrate clinical text with imaging to support diagnostic reasoning (Singhal et al., 2023; AI in Healthcare Year in Review, 2025).</w:t>
      </w:r>
    </w:p>
    <w:p w14:paraId="50BBF215" w14:textId="015A1172" w:rsidR="00237C44" w:rsidRDefault="00B66644">
      <w:pPr>
        <w:spacing w:after="70" w:line="264" w:lineRule="auto"/>
        <w:jc w:val="both"/>
      </w:pPr>
      <w:r w:rsidRPr="00B66644">
        <w:t>Beyond text processing, OCR, computer vision, and multimodal AI are enabling intelligent analysis of scanned clinical documents, radiology reports, and medical images. Together, these technologies support automated claims review, policy compliance, and clinical analytics at enterprise scale, creating new opportunities for organizations such as Cotiviti.</w:t>
      </w:r>
    </w:p>
    <w:p w14:paraId="5542DE61" w14:textId="77777777" w:rsidR="00237C44" w:rsidRDefault="00000000">
      <w:pPr>
        <w:pBdr>
          <w:bottom w:val="single" w:sz="4" w:space="4" w:color="00A8CC"/>
        </w:pBdr>
        <w:spacing w:before="105" w:after="52"/>
      </w:pPr>
      <w:r>
        <w:rPr>
          <w:b/>
          <w:bCs/>
          <w:color w:val="0D4F8B"/>
          <w:sz w:val="23"/>
          <w:szCs w:val="23"/>
        </w:rPr>
        <w:t>3. Opportunities and Threats</w:t>
      </w:r>
    </w:p>
    <w:p w14:paraId="015A0569" w14:textId="77777777" w:rsidR="00237C44" w:rsidRDefault="00000000">
      <w:pPr>
        <w:spacing w:before="55" w:after="35"/>
      </w:pPr>
      <w:r>
        <w:rPr>
          <w:b/>
          <w:bCs/>
          <w:color w:val="1A6BB5"/>
        </w:rPr>
        <w:t>Opportunities</w:t>
      </w:r>
    </w:p>
    <w:p w14:paraId="758E3C46" w14:textId="7464A904" w:rsidR="00237C44" w:rsidRDefault="00B66644" w:rsidP="00B66644">
      <w:pPr>
        <w:pStyle w:val="ListParagraph"/>
        <w:numPr>
          <w:ilvl w:val="0"/>
          <w:numId w:val="2"/>
        </w:numPr>
        <w:spacing w:before="14" w:after="28" w:line="264" w:lineRule="auto"/>
        <w:jc w:val="both"/>
      </w:pPr>
      <w:r w:rsidRPr="00B66644">
        <w:rPr>
          <w:b/>
          <w:bCs/>
          <w:color w:val="0D4F8B"/>
        </w:rPr>
        <w:t>Automated Clinical Coding and Claims Accuracy</w:t>
      </w:r>
      <w:r w:rsidR="00000000">
        <w:rPr>
          <w:b/>
          <w:bCs/>
          <w:color w:val="0D4F8B"/>
        </w:rPr>
        <w:t>.</w:t>
      </w:r>
      <w:r w:rsidR="00000000">
        <w:t xml:space="preserve"> Clinical NLP systems can automatically extract diagnosis codes, procedure codes, and comorbidities from free-text clinical notes, reducing manual coding errors and claim denials. Health systems have reported up to 30% reductions in documentation time, and </w:t>
      </w:r>
      <w:r w:rsidR="00000000">
        <w:lastRenderedPageBreak/>
        <w:t>the AMA estimates improved efficiency could save physicians over $45,000 annually in productivity gains (MarketDataForecast, 2025).</w:t>
      </w:r>
    </w:p>
    <w:p w14:paraId="6CAB2CEF" w14:textId="5BA8729D" w:rsidR="00237C44" w:rsidRDefault="00B66644" w:rsidP="00B66644">
      <w:pPr>
        <w:pStyle w:val="ListParagraph"/>
        <w:numPr>
          <w:ilvl w:val="0"/>
          <w:numId w:val="2"/>
        </w:numPr>
        <w:spacing w:before="14" w:after="28" w:line="264" w:lineRule="auto"/>
        <w:jc w:val="both"/>
      </w:pPr>
      <w:r w:rsidRPr="00B66644">
        <w:rPr>
          <w:b/>
          <w:bCs/>
          <w:color w:val="0D4F8B"/>
        </w:rPr>
        <w:t>Payment Integrity and Claims Intelligence.</w:t>
      </w:r>
      <w:r w:rsidR="00000000">
        <w:t xml:space="preserve"> For payers like Cotiviti’s clients, NLP applied to clinical notes and Explanation of Benefits (EOB) documents can flag medically unsupported claims, identify upcoding, and detect documentation inconsistencies that trigger payment integrity reviews </w:t>
      </w:r>
      <w:r w:rsidR="00C71D08">
        <w:t>-</w:t>
      </w:r>
      <w:r w:rsidR="00000000">
        <w:t xml:space="preserve"> without requiring structured data inputs.</w:t>
      </w:r>
    </w:p>
    <w:p w14:paraId="7DE7BA97" w14:textId="01DA6FB6" w:rsidR="00237C44" w:rsidRDefault="00000000" w:rsidP="00B66644">
      <w:pPr>
        <w:pStyle w:val="ListParagraph"/>
        <w:numPr>
          <w:ilvl w:val="0"/>
          <w:numId w:val="2"/>
        </w:numPr>
        <w:spacing w:before="14" w:after="28" w:line="264" w:lineRule="auto"/>
        <w:jc w:val="both"/>
      </w:pPr>
      <w:r>
        <w:rPr>
          <w:b/>
          <w:bCs/>
          <w:color w:val="0D4F8B"/>
        </w:rPr>
        <w:t>Population Health and Quality Measurement.</w:t>
      </w:r>
      <w:r>
        <w:t xml:space="preserve"> NLP-powered systems can extract patient cohort data from EHRs, identify undiagnosed conditions from clinical narratives, and surface care gaps by reading physician notes against clinical guidelines </w:t>
      </w:r>
      <w:r w:rsidR="00C71D08">
        <w:t>-</w:t>
      </w:r>
      <w:r>
        <w:t xml:space="preserve"> directly supporting value-based care initiatives and HEDIS measure reporting.</w:t>
      </w:r>
    </w:p>
    <w:p w14:paraId="3DEE371B" w14:textId="77777777" w:rsidR="00237C44" w:rsidRDefault="00000000">
      <w:pPr>
        <w:spacing w:before="55" w:after="35"/>
      </w:pPr>
      <w:r>
        <w:rPr>
          <w:b/>
          <w:bCs/>
          <w:color w:val="1A6BB5"/>
        </w:rPr>
        <w:t>Threats</w:t>
      </w:r>
    </w:p>
    <w:p w14:paraId="76C4D136" w14:textId="3F95BD3C" w:rsidR="00237C44" w:rsidRDefault="00B66644">
      <w:pPr>
        <w:pStyle w:val="ListParagraph"/>
        <w:numPr>
          <w:ilvl w:val="0"/>
          <w:numId w:val="2"/>
        </w:numPr>
        <w:spacing w:before="14" w:after="28" w:line="264" w:lineRule="auto"/>
      </w:pPr>
      <w:r w:rsidRPr="00B66644">
        <w:rPr>
          <w:b/>
          <w:bCs/>
          <w:color w:val="0D4F8B"/>
        </w:rPr>
        <w:t>Hallucination, Explainability, and Clinical Trust</w:t>
      </w:r>
      <w:r w:rsidR="00000000">
        <w:rPr>
          <w:b/>
          <w:bCs/>
          <w:color w:val="0D4F8B"/>
        </w:rPr>
        <w:t>.</w:t>
      </w:r>
      <w:r w:rsidR="00000000">
        <w:t xml:space="preserve"> LLMs generate confident but factually incorrect clinical outputs </w:t>
      </w:r>
      <w:r w:rsidR="00C71D08">
        <w:t>-</w:t>
      </w:r>
      <w:r w:rsidR="00000000">
        <w:t xml:space="preserve"> a phenomenon researchers term the “trust paradox”: the more capable the model, the more dangerous its errors, as clinicians are more likely to rely on plausible-sounding but incorrect outputs (</w:t>
      </w:r>
      <w:proofErr w:type="spellStart"/>
      <w:r w:rsidR="00000000">
        <w:t>Alkaissi</w:t>
      </w:r>
      <w:proofErr w:type="spellEnd"/>
      <w:r w:rsidR="00000000">
        <w:t xml:space="preserve"> &amp; McFarlane, 2023). In ICD coding specifically, generative LLMs may hallucinate non-existent codes when processing lengthy clinical documents.</w:t>
      </w:r>
    </w:p>
    <w:p w14:paraId="779AEC9D" w14:textId="77777777" w:rsidR="00237C44" w:rsidRDefault="00000000">
      <w:pPr>
        <w:pStyle w:val="ListParagraph"/>
        <w:numPr>
          <w:ilvl w:val="0"/>
          <w:numId w:val="2"/>
        </w:numPr>
        <w:spacing w:before="14" w:after="28" w:line="264" w:lineRule="auto"/>
      </w:pPr>
      <w:r>
        <w:rPr>
          <w:b/>
          <w:bCs/>
          <w:color w:val="0D4F8B"/>
        </w:rPr>
        <w:t>Regulatory and Privacy Constraints.</w:t>
      </w:r>
      <w:r>
        <w:t xml:space="preserve"> Clinical NLP systems process Protected Health Information (PHI), creating significant HIPAA compliance exposure when using commercial LLM APIs. The FDA has approved over 1,000 AI-enabled medical devices, with regulatory scrutiny of NLP-based clinical decision support tools intensifying as the agency develops its Software as a Medical Device (SaMD) framework (ScienceDirect, 2025).</w:t>
      </w:r>
    </w:p>
    <w:p w14:paraId="0D7447BD" w14:textId="47F901ED" w:rsidR="00237C44" w:rsidRDefault="00000000">
      <w:pPr>
        <w:pStyle w:val="ListParagraph"/>
        <w:numPr>
          <w:ilvl w:val="0"/>
          <w:numId w:val="2"/>
        </w:numPr>
        <w:spacing w:before="14" w:after="28" w:line="264" w:lineRule="auto"/>
      </w:pPr>
      <w:r>
        <w:rPr>
          <w:b/>
          <w:bCs/>
          <w:color w:val="0D4F8B"/>
        </w:rPr>
        <w:t>EHR Integration Complexity.</w:t>
      </w:r>
      <w:r>
        <w:t xml:space="preserve"> Healthcare organizations run on fragmented IT ecosystems </w:t>
      </w:r>
      <w:r w:rsidR="00C71D08">
        <w:t>-</w:t>
      </w:r>
      <w:r>
        <w:t xml:space="preserve"> different EHR versions, specialty templates, and data governance policies </w:t>
      </w:r>
      <w:r w:rsidR="00C71D08">
        <w:t>-</w:t>
      </w:r>
      <w:r>
        <w:t xml:space="preserve"> slowing NLP deployment from pilot to enterprise scale and limiting the standardized input data that NLP models require (Fortune Business Insights, 2025).</w:t>
      </w:r>
    </w:p>
    <w:p w14:paraId="40F0C526" w14:textId="77777777" w:rsidR="00237C44" w:rsidRDefault="00000000">
      <w:pPr>
        <w:pBdr>
          <w:bottom w:val="single" w:sz="4" w:space="4" w:color="00A8CC"/>
        </w:pBdr>
        <w:spacing w:before="105" w:after="52"/>
      </w:pPr>
      <w:r>
        <w:rPr>
          <w:b/>
          <w:bCs/>
          <w:color w:val="0D4F8B"/>
          <w:sz w:val="23"/>
          <w:szCs w:val="23"/>
        </w:rPr>
        <w:t>4. Strategic Recommendations for Cotiviti</w:t>
      </w:r>
    </w:p>
    <w:p w14:paraId="6FC81214" w14:textId="33A28085" w:rsidR="00237C44" w:rsidRDefault="00B66644">
      <w:pPr>
        <w:spacing w:after="70" w:line="264" w:lineRule="auto"/>
        <w:jc w:val="both"/>
      </w:pPr>
      <w:r w:rsidRPr="00B66644">
        <w:t>As a leader in payment integrity and healthcare analytics, Cotiviti is well positioned to leverage Clinical NLP to improve claims accuracy, automate policy review, and deliver greater value to payer clients. Based on the trends discussed above, the following strategic investments are recommended.</w:t>
      </w:r>
    </w:p>
    <w:p w14:paraId="696A69D9" w14:textId="63F781E6" w:rsidR="00237C44" w:rsidRDefault="00000000">
      <w:pPr>
        <w:spacing w:after="70" w:line="264" w:lineRule="auto"/>
        <w:jc w:val="both"/>
      </w:pPr>
      <w:r>
        <w:rPr>
          <w:b/>
          <w:bCs/>
          <w:color w:val="0D4F8B"/>
        </w:rPr>
        <w:t xml:space="preserve">Option 1: NLP-Powered Clinical Documentation Intelligence. </w:t>
      </w:r>
      <w:r>
        <w:t xml:space="preserve">Cotiviti should build a clinical NLP pipeline ingesting provider notes and discharge summaries from claims packages, extracting structured clinical entities </w:t>
      </w:r>
      <w:r w:rsidR="00C71D08">
        <w:t>-</w:t>
      </w:r>
      <w:r>
        <w:t xml:space="preserve"> diagnoses, procedures, medications </w:t>
      </w:r>
      <w:r w:rsidR="00C71D08">
        <w:t>-</w:t>
      </w:r>
      <w:r>
        <w:t xml:space="preserve"> mapped to ICD-10 and CPT standards, enabling automated medical necessity review and coding validation within its payment integrity workflows.</w:t>
      </w:r>
    </w:p>
    <w:p w14:paraId="2CA55341" w14:textId="77777777" w:rsidR="000B44A5" w:rsidRDefault="00000000">
      <w:pPr>
        <w:spacing w:after="70" w:line="264" w:lineRule="auto"/>
        <w:jc w:val="both"/>
      </w:pPr>
      <w:r>
        <w:rPr>
          <w:b/>
          <w:bCs/>
          <w:color w:val="0D4F8B"/>
        </w:rPr>
        <w:t xml:space="preserve">Option 2: Ambient Clinical Intelligence for Provider Analytics. </w:t>
      </w:r>
      <w:r>
        <w:t xml:space="preserve">Cotiviti should partner with ambient AI scribe vendors (e.g., Nuance DAX, Abridge) to </w:t>
      </w:r>
      <w:r w:rsidR="000B44A5" w:rsidRPr="000B44A5">
        <w:t>leverage de-identified clinical documentation for downstream quality measurement, risk adjustment, and payer analytics rather than developing documentation solutions from scratch.</w:t>
      </w:r>
    </w:p>
    <w:p w14:paraId="6270661A" w14:textId="5DB61089" w:rsidR="00237C44" w:rsidRDefault="00000000">
      <w:pPr>
        <w:spacing w:after="70" w:line="264" w:lineRule="auto"/>
        <w:jc w:val="both"/>
      </w:pPr>
      <w:r>
        <w:rPr>
          <w:b/>
          <w:bCs/>
          <w:color w:val="0D4F8B"/>
        </w:rPr>
        <w:t xml:space="preserve">Option 3: RAG-Augmented Clinical Policy Engine. </w:t>
      </w:r>
      <w:r>
        <w:t xml:space="preserve">Cotiviti should build a retrieval-augmented generation (RAG) layer over its clinical guidelines and payer contracts, enabling reviewers to query natural language questions and receive grounded, cited answers via a HIPAA-compliant private LLM </w:t>
      </w:r>
      <w:r w:rsidR="00C71D08">
        <w:t>-</w:t>
      </w:r>
      <w:r>
        <w:t xml:space="preserve"> eliminating manual policy lookup.</w:t>
      </w:r>
    </w:p>
    <w:p w14:paraId="0D09DF45" w14:textId="740271FF" w:rsidR="00237C44" w:rsidRDefault="00000000">
      <w:pPr>
        <w:spacing w:after="70" w:line="264" w:lineRule="auto"/>
        <w:jc w:val="both"/>
      </w:pPr>
      <w:r>
        <w:rPr>
          <w:b/>
          <w:bCs/>
          <w:color w:val="0D4F8B"/>
        </w:rPr>
        <w:t xml:space="preserve">Option 4: Multimodal Clinical Document Intelligence. </w:t>
      </w:r>
      <w:r>
        <w:t xml:space="preserve">Cotiviti should extend the NLP pipeline beyond plain text to process real-world clinical PDFs </w:t>
      </w:r>
      <w:r w:rsidR="00C71D08">
        <w:t>-</w:t>
      </w:r>
      <w:r>
        <w:t xml:space="preserve"> the format in which payer claim packages </w:t>
      </w:r>
      <w:proofErr w:type="gramStart"/>
      <w:r>
        <w:t>actually arrive</w:t>
      </w:r>
      <w:proofErr w:type="gramEnd"/>
      <w:r>
        <w:t xml:space="preserve">. This requires three components: IBM </w:t>
      </w:r>
      <w:proofErr w:type="spellStart"/>
      <w:r>
        <w:t>DocLing</w:t>
      </w:r>
      <w:proofErr w:type="spellEnd"/>
      <w:r>
        <w:t xml:space="preserve"> for intelligent PDF text extraction preserving document structure and layout (Auer et al., 2024); a Vision Language Model such as </w:t>
      </w:r>
      <w:proofErr w:type="spellStart"/>
      <w:r>
        <w:t>LLaVA</w:t>
      </w:r>
      <w:proofErr w:type="spellEnd"/>
      <w:r>
        <w:t xml:space="preserve">-Med or Med-Gemini to interpret embedded medical images </w:t>
      </w:r>
      <w:r w:rsidR="00C71D08">
        <w:t>-</w:t>
      </w:r>
      <w:r>
        <w:t xml:space="preserve"> chest X-rays, ECGs, pathology slides </w:t>
      </w:r>
      <w:r w:rsidR="00C71D08">
        <w:t>-</w:t>
      </w:r>
      <w:r>
        <w:t xml:space="preserve"> generating text descriptions that feed the RAG pipeline (Li et al., 2023); and structured table parsing logic to extract lab value tables directly as JSON, enabling 100% accurate factual retrieval from structured clinical data. This multimodal layer would make the pipeline fully production-ready for Cotiviti’s payer claim package review workflows at scale.</w:t>
      </w:r>
    </w:p>
    <w:p w14:paraId="4EC71C27" w14:textId="77777777" w:rsidR="00237C44" w:rsidRDefault="00000000">
      <w:r>
        <w:br w:type="page"/>
      </w:r>
    </w:p>
    <w:p w14:paraId="478FE5F3" w14:textId="77777777" w:rsidR="00237C44" w:rsidRDefault="00000000">
      <w:pPr>
        <w:pBdr>
          <w:bottom w:val="single" w:sz="4" w:space="4" w:color="00A8CC"/>
        </w:pBdr>
        <w:spacing w:before="80" w:after="100"/>
      </w:pPr>
      <w:r>
        <w:rPr>
          <w:b/>
          <w:bCs/>
          <w:color w:val="0D4F8B"/>
          <w:sz w:val="26"/>
          <w:szCs w:val="26"/>
        </w:rPr>
        <w:lastRenderedPageBreak/>
        <w:t>References</w:t>
      </w:r>
    </w:p>
    <w:p w14:paraId="767576B0" w14:textId="77777777" w:rsidR="00237C44" w:rsidRDefault="00000000" w:rsidP="000B44A5">
      <w:pPr>
        <w:pStyle w:val="ListParagraph"/>
        <w:numPr>
          <w:ilvl w:val="0"/>
          <w:numId w:val="4"/>
        </w:numPr>
        <w:spacing w:before="22" w:after="22"/>
        <w:jc w:val="both"/>
      </w:pPr>
      <w:r w:rsidRPr="000B44A5">
        <w:rPr>
          <w:color w:val="222222"/>
          <w:sz w:val="20"/>
          <w:szCs w:val="20"/>
        </w:rPr>
        <w:t>Alkaissi, H., &amp; McFarlane, S. I. (2023). Artificial hallucinations in ChatGPT: Implications in scientific writing. Cureus, 15(2), e35179. https://doi.org/10.7759/cureus.35179</w:t>
      </w:r>
    </w:p>
    <w:p w14:paraId="13572EDC" w14:textId="77777777" w:rsidR="00237C44" w:rsidRDefault="00000000" w:rsidP="000B44A5">
      <w:pPr>
        <w:pStyle w:val="ListParagraph"/>
        <w:numPr>
          <w:ilvl w:val="0"/>
          <w:numId w:val="4"/>
        </w:numPr>
        <w:spacing w:before="22" w:after="22"/>
        <w:jc w:val="both"/>
      </w:pPr>
      <w:r w:rsidRPr="000B44A5">
        <w:rPr>
          <w:color w:val="222222"/>
          <w:sz w:val="20"/>
          <w:szCs w:val="20"/>
        </w:rPr>
        <w:t xml:space="preserve">Aronson, A. R., &amp; Lang, F. M. (2010). An overview of </w:t>
      </w:r>
      <w:proofErr w:type="spellStart"/>
      <w:r w:rsidRPr="000B44A5">
        <w:rPr>
          <w:color w:val="222222"/>
          <w:sz w:val="20"/>
          <w:szCs w:val="20"/>
        </w:rPr>
        <w:t>MetaMap</w:t>
      </w:r>
      <w:proofErr w:type="spellEnd"/>
      <w:r w:rsidRPr="000B44A5">
        <w:rPr>
          <w:color w:val="222222"/>
          <w:sz w:val="20"/>
          <w:szCs w:val="20"/>
        </w:rPr>
        <w:t>: Historical perspective and recent advances. Journal of the American Medical Informatics Association, 17(3), 229–236. https://doi.org/10.1136/jamia.2009.002733</w:t>
      </w:r>
    </w:p>
    <w:p w14:paraId="12AD5736" w14:textId="77777777" w:rsidR="00237C44" w:rsidRDefault="00000000" w:rsidP="000B44A5">
      <w:pPr>
        <w:pStyle w:val="ListParagraph"/>
        <w:numPr>
          <w:ilvl w:val="0"/>
          <w:numId w:val="4"/>
        </w:numPr>
        <w:spacing w:before="22" w:after="22"/>
        <w:jc w:val="both"/>
      </w:pPr>
      <w:r w:rsidRPr="000B44A5">
        <w:rPr>
          <w:color w:val="222222"/>
          <w:sz w:val="20"/>
          <w:szCs w:val="20"/>
        </w:rPr>
        <w:t xml:space="preserve">Auer, P., Berroteran-Infante, N., Bhatt, A., Caesar, H., Dolfi, M., </w:t>
      </w:r>
      <w:proofErr w:type="spellStart"/>
      <w:r w:rsidRPr="000B44A5">
        <w:rPr>
          <w:color w:val="222222"/>
          <w:sz w:val="20"/>
          <w:szCs w:val="20"/>
        </w:rPr>
        <w:t>Droth</w:t>
      </w:r>
      <w:proofErr w:type="spellEnd"/>
      <w:r w:rsidRPr="000B44A5">
        <w:rPr>
          <w:color w:val="222222"/>
          <w:sz w:val="20"/>
          <w:szCs w:val="20"/>
        </w:rPr>
        <w:t xml:space="preserve">, M., Duerr, O., Ebert, P., Gantenbein, B., Georgiadis, G., Graber, M., </w:t>
      </w:r>
      <w:proofErr w:type="spellStart"/>
      <w:r w:rsidRPr="000B44A5">
        <w:rPr>
          <w:color w:val="222222"/>
          <w:sz w:val="20"/>
          <w:szCs w:val="20"/>
        </w:rPr>
        <w:t>Groth</w:t>
      </w:r>
      <w:proofErr w:type="spellEnd"/>
      <w:r w:rsidRPr="000B44A5">
        <w:rPr>
          <w:color w:val="222222"/>
          <w:sz w:val="20"/>
          <w:szCs w:val="20"/>
        </w:rPr>
        <w:t xml:space="preserve">, P., Grun, B., Henny, K., Hofer, S., Klass, H., Lehmann, C., Liang, C., Loncar-Lovric, M., … Weber, P. (2024). </w:t>
      </w:r>
      <w:proofErr w:type="spellStart"/>
      <w:r w:rsidRPr="000B44A5">
        <w:rPr>
          <w:color w:val="222222"/>
          <w:sz w:val="20"/>
          <w:szCs w:val="20"/>
        </w:rPr>
        <w:t>DocLing</w:t>
      </w:r>
      <w:proofErr w:type="spellEnd"/>
      <w:r w:rsidRPr="000B44A5">
        <w:rPr>
          <w:color w:val="222222"/>
          <w:sz w:val="20"/>
          <w:szCs w:val="20"/>
        </w:rPr>
        <w:t xml:space="preserve">: An efficient and self-contained document conversion and understanding library. </w:t>
      </w:r>
      <w:proofErr w:type="spellStart"/>
      <w:r w:rsidRPr="000B44A5">
        <w:rPr>
          <w:color w:val="222222"/>
          <w:sz w:val="20"/>
          <w:szCs w:val="20"/>
        </w:rPr>
        <w:t>arXiv</w:t>
      </w:r>
      <w:proofErr w:type="spellEnd"/>
      <w:r w:rsidRPr="000B44A5">
        <w:rPr>
          <w:color w:val="222222"/>
          <w:sz w:val="20"/>
          <w:szCs w:val="20"/>
        </w:rPr>
        <w:t xml:space="preserve"> preprint arXiv:2408.09869. https://arxiv.org/abs/2408.09869</w:t>
      </w:r>
    </w:p>
    <w:p w14:paraId="1EF76951" w14:textId="77777777" w:rsidR="00237C44" w:rsidRDefault="00000000" w:rsidP="000B44A5">
      <w:pPr>
        <w:pStyle w:val="ListParagraph"/>
        <w:numPr>
          <w:ilvl w:val="0"/>
          <w:numId w:val="4"/>
        </w:numPr>
        <w:spacing w:before="22" w:after="22"/>
        <w:jc w:val="both"/>
      </w:pPr>
      <w:r w:rsidRPr="000B44A5">
        <w:rPr>
          <w:color w:val="222222"/>
          <w:sz w:val="20"/>
          <w:szCs w:val="20"/>
        </w:rPr>
        <w:t>Devlin, J., Chang, M. W., Lee, K., &amp; Toutanova, K. (2019). BERT: Pre-training of deep bidirectional transformers for language understanding. Proceedings of NAACL-HLT, 4171–4186. https://doi.org/10.18653/v1/N19-1423</w:t>
      </w:r>
    </w:p>
    <w:p w14:paraId="149012D5" w14:textId="77777777" w:rsidR="00237C44" w:rsidRDefault="00000000" w:rsidP="000B44A5">
      <w:pPr>
        <w:pStyle w:val="ListParagraph"/>
        <w:numPr>
          <w:ilvl w:val="0"/>
          <w:numId w:val="4"/>
        </w:numPr>
        <w:spacing w:before="22" w:after="22"/>
        <w:jc w:val="both"/>
      </w:pPr>
      <w:r w:rsidRPr="000B44A5">
        <w:rPr>
          <w:color w:val="222222"/>
          <w:sz w:val="20"/>
          <w:szCs w:val="20"/>
        </w:rPr>
        <w:t>Fortune Business Insights. (2025). Clinical NLP platforms market size, share and industry analysis, 2026–2034. https://www.fortunebusinessinsights.com/clinical-nlp-platforms-market-115373</w:t>
      </w:r>
    </w:p>
    <w:p w14:paraId="762F3703" w14:textId="77777777" w:rsidR="00237C44" w:rsidRDefault="00000000" w:rsidP="000B44A5">
      <w:pPr>
        <w:pStyle w:val="ListParagraph"/>
        <w:numPr>
          <w:ilvl w:val="0"/>
          <w:numId w:val="4"/>
        </w:numPr>
        <w:spacing w:before="22" w:after="22"/>
        <w:jc w:val="both"/>
      </w:pPr>
      <w:r w:rsidRPr="000B44A5">
        <w:rPr>
          <w:color w:val="222222"/>
          <w:sz w:val="20"/>
          <w:szCs w:val="20"/>
        </w:rPr>
        <w:t>Grand View Research. (2025). AI platform for clinical conversations market report, 2033. https://www.grandviewresearch.com/industry-analysis/ai-platform-clinical-conversations-market-report</w:t>
      </w:r>
    </w:p>
    <w:p w14:paraId="0C5E72CB" w14:textId="77777777" w:rsidR="00237C44" w:rsidRDefault="00000000" w:rsidP="000B44A5">
      <w:pPr>
        <w:pStyle w:val="ListParagraph"/>
        <w:numPr>
          <w:ilvl w:val="0"/>
          <w:numId w:val="4"/>
        </w:numPr>
        <w:spacing w:before="22" w:after="22"/>
        <w:jc w:val="both"/>
      </w:pPr>
      <w:r w:rsidRPr="000B44A5">
        <w:rPr>
          <w:color w:val="222222"/>
          <w:sz w:val="20"/>
          <w:szCs w:val="20"/>
        </w:rPr>
        <w:t xml:space="preserve">Haberle, T., Cleveland, C., Snow, G. L., Barber, C., Stookey, N., Thornock, C., Younger, L., </w:t>
      </w:r>
      <w:proofErr w:type="spellStart"/>
      <w:r w:rsidRPr="000B44A5">
        <w:rPr>
          <w:color w:val="222222"/>
          <w:sz w:val="20"/>
          <w:szCs w:val="20"/>
        </w:rPr>
        <w:t>Mullahkhel</w:t>
      </w:r>
      <w:proofErr w:type="spellEnd"/>
      <w:r w:rsidRPr="000B44A5">
        <w:rPr>
          <w:color w:val="222222"/>
          <w:sz w:val="20"/>
          <w:szCs w:val="20"/>
        </w:rPr>
        <w:t>, B., &amp; Ize-Ludlow, D. (2024). The impact of Nuance DAX ambient listening AI documentation: A cohort study. Journal of the American Medical Informatics Association, 31(4), 975–979. https://doi.org/10.1093/jamia/ocae022</w:t>
      </w:r>
    </w:p>
    <w:p w14:paraId="1E667D3C" w14:textId="77777777" w:rsidR="00237C44" w:rsidRDefault="00000000" w:rsidP="000B44A5">
      <w:pPr>
        <w:pStyle w:val="ListParagraph"/>
        <w:numPr>
          <w:ilvl w:val="0"/>
          <w:numId w:val="4"/>
        </w:numPr>
        <w:spacing w:before="22" w:after="22"/>
        <w:jc w:val="both"/>
      </w:pPr>
      <w:r w:rsidRPr="000B44A5">
        <w:rPr>
          <w:color w:val="222222"/>
          <w:sz w:val="20"/>
          <w:szCs w:val="20"/>
        </w:rPr>
        <w:t xml:space="preserve">Lee, J., Yoon, W., Kim, S., Kim, D., Kim, S., So, C. H., &amp; Kang, J. (2020). </w:t>
      </w:r>
      <w:proofErr w:type="spellStart"/>
      <w:r w:rsidRPr="000B44A5">
        <w:rPr>
          <w:color w:val="222222"/>
          <w:sz w:val="20"/>
          <w:szCs w:val="20"/>
        </w:rPr>
        <w:t>BioBERT</w:t>
      </w:r>
      <w:proofErr w:type="spellEnd"/>
      <w:r w:rsidRPr="000B44A5">
        <w:rPr>
          <w:color w:val="222222"/>
          <w:sz w:val="20"/>
          <w:szCs w:val="20"/>
        </w:rPr>
        <w:t>: A pre-trained biomedical language representation model for biomedical text mining. Bioinformatics, 36(4), 1234–1240. https://doi.org/10.1093/bioinformatics/btz682</w:t>
      </w:r>
    </w:p>
    <w:p w14:paraId="5CDF3612" w14:textId="77777777" w:rsidR="00237C44" w:rsidRDefault="00000000" w:rsidP="000B44A5">
      <w:pPr>
        <w:pStyle w:val="ListParagraph"/>
        <w:numPr>
          <w:ilvl w:val="0"/>
          <w:numId w:val="4"/>
        </w:numPr>
        <w:spacing w:before="22" w:after="22"/>
        <w:jc w:val="both"/>
      </w:pPr>
      <w:r w:rsidRPr="000B44A5">
        <w:rPr>
          <w:color w:val="222222"/>
          <w:sz w:val="20"/>
          <w:szCs w:val="20"/>
        </w:rPr>
        <w:t xml:space="preserve">Li, C., Wong, C., Zhang, S., </w:t>
      </w:r>
      <w:proofErr w:type="spellStart"/>
      <w:r w:rsidRPr="000B44A5">
        <w:rPr>
          <w:color w:val="222222"/>
          <w:sz w:val="20"/>
          <w:szCs w:val="20"/>
        </w:rPr>
        <w:t>Usuyama</w:t>
      </w:r>
      <w:proofErr w:type="spellEnd"/>
      <w:r w:rsidRPr="000B44A5">
        <w:rPr>
          <w:color w:val="222222"/>
          <w:sz w:val="20"/>
          <w:szCs w:val="20"/>
        </w:rPr>
        <w:t xml:space="preserve">, N., Liu, H., Yang, J., Naumann, T., Poon, H., &amp; Gao, J. (2023). </w:t>
      </w:r>
      <w:proofErr w:type="spellStart"/>
      <w:r w:rsidRPr="000B44A5">
        <w:rPr>
          <w:color w:val="222222"/>
          <w:sz w:val="20"/>
          <w:szCs w:val="20"/>
        </w:rPr>
        <w:t>LLaVA</w:t>
      </w:r>
      <w:proofErr w:type="spellEnd"/>
      <w:r w:rsidRPr="000B44A5">
        <w:rPr>
          <w:color w:val="222222"/>
          <w:sz w:val="20"/>
          <w:szCs w:val="20"/>
        </w:rPr>
        <w:t>-Med: Training a large language-and-vision assistant for biomedicine in one day. Advances in Neural Information Processing Systems, 36. https://arxiv.org/abs/2306.00890</w:t>
      </w:r>
    </w:p>
    <w:p w14:paraId="7A2A311E" w14:textId="77777777" w:rsidR="00237C44" w:rsidRDefault="00000000" w:rsidP="000B44A5">
      <w:pPr>
        <w:pStyle w:val="ListParagraph"/>
        <w:numPr>
          <w:ilvl w:val="0"/>
          <w:numId w:val="4"/>
        </w:numPr>
        <w:spacing w:before="22" w:after="22"/>
        <w:jc w:val="both"/>
      </w:pPr>
      <w:r w:rsidRPr="000B44A5">
        <w:rPr>
          <w:color w:val="222222"/>
          <w:sz w:val="20"/>
          <w:szCs w:val="20"/>
        </w:rPr>
        <w:t>Market.us. (2025). Healthcare natural language processing market size, CAGR of 17.4%. https://market.us/report/healthcare-natural-language-processing-market/</w:t>
      </w:r>
    </w:p>
    <w:p w14:paraId="3FAB5145" w14:textId="77777777" w:rsidR="00237C44" w:rsidRDefault="00000000" w:rsidP="000B44A5">
      <w:pPr>
        <w:pStyle w:val="ListParagraph"/>
        <w:numPr>
          <w:ilvl w:val="0"/>
          <w:numId w:val="4"/>
        </w:numPr>
        <w:spacing w:before="22" w:after="22"/>
        <w:jc w:val="both"/>
      </w:pPr>
      <w:r w:rsidRPr="000B44A5">
        <w:rPr>
          <w:color w:val="222222"/>
          <w:sz w:val="20"/>
          <w:szCs w:val="20"/>
        </w:rPr>
        <w:t>MarketDataForecast. (2025). NLP in healthcare and life sciences market size and share. https://www.marketdataforecast.com/market-reports/nlp-healthcare-life-sciences-market</w:t>
      </w:r>
    </w:p>
    <w:p w14:paraId="2A59AA32" w14:textId="77777777" w:rsidR="00237C44" w:rsidRDefault="00000000" w:rsidP="000B44A5">
      <w:pPr>
        <w:pStyle w:val="ListParagraph"/>
        <w:numPr>
          <w:ilvl w:val="0"/>
          <w:numId w:val="4"/>
        </w:numPr>
        <w:spacing w:before="22" w:after="22"/>
        <w:jc w:val="both"/>
      </w:pPr>
      <w:proofErr w:type="spellStart"/>
      <w:r w:rsidRPr="000B44A5">
        <w:rPr>
          <w:color w:val="222222"/>
          <w:sz w:val="20"/>
          <w:szCs w:val="20"/>
        </w:rPr>
        <w:t>MarketsandMarkets</w:t>
      </w:r>
      <w:proofErr w:type="spellEnd"/>
      <w:r w:rsidRPr="000B44A5">
        <w:rPr>
          <w:color w:val="222222"/>
          <w:sz w:val="20"/>
          <w:szCs w:val="20"/>
        </w:rPr>
        <w:t>. (2025). NLP in healthcare &amp; life sciences market report 2025–2030. https://www.marketsandmarkets.com/Market-Reports/healthcare-lifesciences-nlp-market-131821021.html</w:t>
      </w:r>
    </w:p>
    <w:p w14:paraId="4CE309BE" w14:textId="77777777" w:rsidR="00237C44" w:rsidRDefault="00000000" w:rsidP="000B44A5">
      <w:pPr>
        <w:pStyle w:val="ListParagraph"/>
        <w:numPr>
          <w:ilvl w:val="0"/>
          <w:numId w:val="4"/>
        </w:numPr>
        <w:spacing w:before="22" w:after="22"/>
        <w:jc w:val="both"/>
      </w:pPr>
      <w:r w:rsidRPr="000B44A5">
        <w:rPr>
          <w:color w:val="222222"/>
          <w:sz w:val="20"/>
          <w:szCs w:val="20"/>
        </w:rPr>
        <w:t>Savova, G. K., Masanz, J. J., Ogren, P. V., Zheng, J., Sohn, S., Kipper-Schuler, K. C., &amp; Chute, C. G. (2010). Mayo clinical Text Analysis and Knowledge Extraction System (</w:t>
      </w:r>
      <w:proofErr w:type="spellStart"/>
      <w:r w:rsidRPr="000B44A5">
        <w:rPr>
          <w:color w:val="222222"/>
          <w:sz w:val="20"/>
          <w:szCs w:val="20"/>
        </w:rPr>
        <w:t>cTAKES</w:t>
      </w:r>
      <w:proofErr w:type="spellEnd"/>
      <w:r w:rsidRPr="000B44A5">
        <w:rPr>
          <w:color w:val="222222"/>
          <w:sz w:val="20"/>
          <w:szCs w:val="20"/>
        </w:rPr>
        <w:t>): Architecture, component evaluation and applications. Journal of the American Medical Informatics Association, 17(5), 507–513. https://doi.org/10.1136/jamia.2009.001560</w:t>
      </w:r>
    </w:p>
    <w:p w14:paraId="3CF9A619" w14:textId="77777777" w:rsidR="00237C44" w:rsidRDefault="00000000" w:rsidP="000B44A5">
      <w:pPr>
        <w:pStyle w:val="ListParagraph"/>
        <w:numPr>
          <w:ilvl w:val="0"/>
          <w:numId w:val="4"/>
        </w:numPr>
        <w:spacing w:before="22" w:after="22"/>
        <w:jc w:val="both"/>
      </w:pPr>
      <w:r w:rsidRPr="000B44A5">
        <w:rPr>
          <w:color w:val="222222"/>
          <w:sz w:val="20"/>
          <w:szCs w:val="20"/>
        </w:rPr>
        <w:t xml:space="preserve">Singhal, K., Azizi, S., Tu, T., Mahdavi, S. S., Wei, J., Chung, H. W., Scales, N., </w:t>
      </w:r>
      <w:proofErr w:type="spellStart"/>
      <w:r w:rsidRPr="000B44A5">
        <w:rPr>
          <w:color w:val="222222"/>
          <w:sz w:val="20"/>
          <w:szCs w:val="20"/>
        </w:rPr>
        <w:t>Tanwani</w:t>
      </w:r>
      <w:proofErr w:type="spellEnd"/>
      <w:r w:rsidRPr="000B44A5">
        <w:rPr>
          <w:color w:val="222222"/>
          <w:sz w:val="20"/>
          <w:szCs w:val="20"/>
        </w:rPr>
        <w:t xml:space="preserve">, A., Cole-Lewis, H., Pfohl, S., Payne, P., Seneviratne, M., Crosby, P., Hughes, A., </w:t>
      </w:r>
      <w:proofErr w:type="spellStart"/>
      <w:r w:rsidRPr="000B44A5">
        <w:rPr>
          <w:color w:val="222222"/>
          <w:sz w:val="20"/>
          <w:szCs w:val="20"/>
        </w:rPr>
        <w:t>Karthikesalingam</w:t>
      </w:r>
      <w:proofErr w:type="spellEnd"/>
      <w:r w:rsidRPr="000B44A5">
        <w:rPr>
          <w:color w:val="222222"/>
          <w:sz w:val="20"/>
          <w:szCs w:val="20"/>
        </w:rPr>
        <w:t>, A., Natarajan, V., Chunara, R., Krause, J., &amp; Natarajan, V. (2023). Large language models encode clinical knowledge. Nature, 620(7972), 172–180. https://doi.org/10.1038/s41586-023-06291-2</w:t>
      </w:r>
    </w:p>
    <w:sectPr w:rsidR="00237C44">
      <w:footerReference w:type="default" r:id="rId7"/>
      <w:pgSz w:w="12240" w:h="15840"/>
      <w:pgMar w:top="820" w:right="960" w:bottom="820" w:left="9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00077" w14:textId="77777777" w:rsidR="00345413" w:rsidRDefault="00345413">
      <w:r>
        <w:separator/>
      </w:r>
    </w:p>
  </w:endnote>
  <w:endnote w:type="continuationSeparator" w:id="0">
    <w:p w14:paraId="460FBF1A" w14:textId="77777777" w:rsidR="00345413" w:rsidRDefault="00345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0943" w14:textId="27B5825D" w:rsidR="00237C44" w:rsidRDefault="00237C4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8B74C" w14:textId="77777777" w:rsidR="00345413" w:rsidRDefault="00345413">
      <w:r>
        <w:separator/>
      </w:r>
    </w:p>
  </w:footnote>
  <w:footnote w:type="continuationSeparator" w:id="0">
    <w:p w14:paraId="6B62D6D9" w14:textId="77777777" w:rsidR="00345413" w:rsidRDefault="003454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F5D5F"/>
    <w:multiLevelType w:val="hybridMultilevel"/>
    <w:tmpl w:val="8996E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0A7540"/>
    <w:multiLevelType w:val="hybridMultilevel"/>
    <w:tmpl w:val="9B06A064"/>
    <w:lvl w:ilvl="0" w:tplc="8D348910">
      <w:start w:val="1"/>
      <w:numFmt w:val="bullet"/>
      <w:lvlText w:val="●"/>
      <w:lvlJc w:val="left"/>
      <w:pPr>
        <w:ind w:left="720" w:hanging="360"/>
      </w:pPr>
    </w:lvl>
    <w:lvl w:ilvl="1" w:tplc="9E00F764">
      <w:start w:val="1"/>
      <w:numFmt w:val="bullet"/>
      <w:lvlText w:val="○"/>
      <w:lvlJc w:val="left"/>
      <w:pPr>
        <w:ind w:left="1440" w:hanging="360"/>
      </w:pPr>
    </w:lvl>
    <w:lvl w:ilvl="2" w:tplc="570E0F20">
      <w:start w:val="1"/>
      <w:numFmt w:val="bullet"/>
      <w:lvlText w:val="■"/>
      <w:lvlJc w:val="left"/>
      <w:pPr>
        <w:ind w:left="2160" w:hanging="360"/>
      </w:pPr>
    </w:lvl>
    <w:lvl w:ilvl="3" w:tplc="974E2766">
      <w:start w:val="1"/>
      <w:numFmt w:val="bullet"/>
      <w:lvlText w:val="●"/>
      <w:lvlJc w:val="left"/>
      <w:pPr>
        <w:ind w:left="2880" w:hanging="360"/>
      </w:pPr>
    </w:lvl>
    <w:lvl w:ilvl="4" w:tplc="DF0095DC">
      <w:start w:val="1"/>
      <w:numFmt w:val="bullet"/>
      <w:lvlText w:val="○"/>
      <w:lvlJc w:val="left"/>
      <w:pPr>
        <w:ind w:left="3600" w:hanging="360"/>
      </w:pPr>
    </w:lvl>
    <w:lvl w:ilvl="5" w:tplc="B05C4A22">
      <w:start w:val="1"/>
      <w:numFmt w:val="bullet"/>
      <w:lvlText w:val="■"/>
      <w:lvlJc w:val="left"/>
      <w:pPr>
        <w:ind w:left="4320" w:hanging="360"/>
      </w:pPr>
    </w:lvl>
    <w:lvl w:ilvl="6" w:tplc="4F0E2526">
      <w:start w:val="1"/>
      <w:numFmt w:val="bullet"/>
      <w:lvlText w:val="●"/>
      <w:lvlJc w:val="left"/>
      <w:pPr>
        <w:ind w:left="5040" w:hanging="360"/>
      </w:pPr>
    </w:lvl>
    <w:lvl w:ilvl="7" w:tplc="9A52A69C">
      <w:start w:val="1"/>
      <w:numFmt w:val="bullet"/>
      <w:lvlText w:val="●"/>
      <w:lvlJc w:val="left"/>
      <w:pPr>
        <w:ind w:left="5760" w:hanging="360"/>
      </w:pPr>
    </w:lvl>
    <w:lvl w:ilvl="8" w:tplc="3E62A1D4">
      <w:start w:val="1"/>
      <w:numFmt w:val="bullet"/>
      <w:lvlText w:val="●"/>
      <w:lvlJc w:val="left"/>
      <w:pPr>
        <w:ind w:left="6480" w:hanging="360"/>
      </w:pPr>
    </w:lvl>
  </w:abstractNum>
  <w:abstractNum w:abstractNumId="2" w15:restartNumberingAfterBreak="0">
    <w:nsid w:val="57157AD2"/>
    <w:multiLevelType w:val="hybridMultilevel"/>
    <w:tmpl w:val="198A127E"/>
    <w:lvl w:ilvl="0" w:tplc="A9688178">
      <w:start w:val="1"/>
      <w:numFmt w:val="bullet"/>
      <w:lvlText w:val="•"/>
      <w:lvlJc w:val="left"/>
      <w:pPr>
        <w:ind w:left="540" w:hanging="270"/>
      </w:pPr>
    </w:lvl>
    <w:lvl w:ilvl="1" w:tplc="739CB9E8">
      <w:numFmt w:val="decimal"/>
      <w:lvlText w:val=""/>
      <w:lvlJc w:val="left"/>
    </w:lvl>
    <w:lvl w:ilvl="2" w:tplc="7ADA59D6">
      <w:numFmt w:val="decimal"/>
      <w:lvlText w:val=""/>
      <w:lvlJc w:val="left"/>
    </w:lvl>
    <w:lvl w:ilvl="3" w:tplc="C3AAF29C">
      <w:numFmt w:val="decimal"/>
      <w:lvlText w:val=""/>
      <w:lvlJc w:val="left"/>
    </w:lvl>
    <w:lvl w:ilvl="4" w:tplc="E7D0A264">
      <w:numFmt w:val="decimal"/>
      <w:lvlText w:val=""/>
      <w:lvlJc w:val="left"/>
    </w:lvl>
    <w:lvl w:ilvl="5" w:tplc="5204F5B2">
      <w:numFmt w:val="decimal"/>
      <w:lvlText w:val=""/>
      <w:lvlJc w:val="left"/>
    </w:lvl>
    <w:lvl w:ilvl="6" w:tplc="3822EF6A">
      <w:numFmt w:val="decimal"/>
      <w:lvlText w:val=""/>
      <w:lvlJc w:val="left"/>
    </w:lvl>
    <w:lvl w:ilvl="7" w:tplc="6DE688C2">
      <w:numFmt w:val="decimal"/>
      <w:lvlText w:val=""/>
      <w:lvlJc w:val="left"/>
    </w:lvl>
    <w:lvl w:ilvl="8" w:tplc="DCD67E52">
      <w:numFmt w:val="decimal"/>
      <w:lvlText w:val=""/>
      <w:lvlJc w:val="left"/>
    </w:lvl>
  </w:abstractNum>
  <w:abstractNum w:abstractNumId="3" w15:restartNumberingAfterBreak="0">
    <w:nsid w:val="7FA65185"/>
    <w:multiLevelType w:val="hybridMultilevel"/>
    <w:tmpl w:val="3DC2C4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17533540">
    <w:abstractNumId w:val="1"/>
    <w:lvlOverride w:ilvl="0">
      <w:startOverride w:val="1"/>
    </w:lvlOverride>
  </w:num>
  <w:num w:numId="2" w16cid:durableId="1179391543">
    <w:abstractNumId w:val="2"/>
    <w:lvlOverride w:ilvl="0">
      <w:startOverride w:val="1"/>
    </w:lvlOverride>
  </w:num>
  <w:num w:numId="3" w16cid:durableId="1587572930">
    <w:abstractNumId w:val="0"/>
  </w:num>
  <w:num w:numId="4" w16cid:durableId="8222393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44"/>
    <w:rsid w:val="00025A08"/>
    <w:rsid w:val="000B44A5"/>
    <w:rsid w:val="00237C44"/>
    <w:rsid w:val="0028123F"/>
    <w:rsid w:val="002E019E"/>
    <w:rsid w:val="00345413"/>
    <w:rsid w:val="00381D57"/>
    <w:rsid w:val="00425DFC"/>
    <w:rsid w:val="00494658"/>
    <w:rsid w:val="006445A6"/>
    <w:rsid w:val="006E01B1"/>
    <w:rsid w:val="007D6037"/>
    <w:rsid w:val="007F2877"/>
    <w:rsid w:val="00B66644"/>
    <w:rsid w:val="00C05A2D"/>
    <w:rsid w:val="00C71D08"/>
    <w:rsid w:val="00D01B56"/>
    <w:rsid w:val="00E67AB4"/>
    <w:rsid w:val="00F57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DA6E1"/>
  <w15:docId w15:val="{9595AC61-B578-421E-9BFD-74356D3E0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7AB4"/>
    <w:pPr>
      <w:tabs>
        <w:tab w:val="center" w:pos="4513"/>
        <w:tab w:val="right" w:pos="9026"/>
      </w:tabs>
    </w:pPr>
  </w:style>
  <w:style w:type="character" w:customStyle="1" w:styleId="HeaderChar">
    <w:name w:val="Header Char"/>
    <w:basedOn w:val="DefaultParagraphFont"/>
    <w:link w:val="Header"/>
    <w:uiPriority w:val="99"/>
    <w:rsid w:val="00E67AB4"/>
  </w:style>
  <w:style w:type="paragraph" w:styleId="Footer">
    <w:name w:val="footer"/>
    <w:basedOn w:val="Normal"/>
    <w:link w:val="FooterChar"/>
    <w:uiPriority w:val="99"/>
    <w:unhideWhenUsed/>
    <w:rsid w:val="00E67AB4"/>
    <w:pPr>
      <w:tabs>
        <w:tab w:val="center" w:pos="4513"/>
        <w:tab w:val="right" w:pos="9026"/>
      </w:tabs>
    </w:pPr>
  </w:style>
  <w:style w:type="character" w:customStyle="1" w:styleId="FooterChar">
    <w:name w:val="Footer Char"/>
    <w:basedOn w:val="DefaultParagraphFont"/>
    <w:link w:val="Footer"/>
    <w:uiPriority w:val="99"/>
    <w:rsid w:val="00E67A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1815</Words>
  <Characters>10349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Arshad Naguru (RIT Student)</cp:lastModifiedBy>
  <cp:revision>11</cp:revision>
  <dcterms:created xsi:type="dcterms:W3CDTF">2026-06-27T16:33:00Z</dcterms:created>
  <dcterms:modified xsi:type="dcterms:W3CDTF">2026-06-28T21:50:00Z</dcterms:modified>
</cp:coreProperties>
</file>