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The article “Manimator: Transforming Research Papers into Visual Explanations” introduces Manimator, an open-source system that uses Large Language Models to convert complex research papers and their natural language descriptions automatically into visual explanatory animations using the Manim engine. In this regard, the key objective of Manimator is to make scientific and mathematical material more comprehensible through the translation of dense text into dynamic, engaging visuals.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Manimator works through a three-stage pipeline. The first stage of the Manimator system focuses on understanding the input content and transforming it into a structured visual plan. A multimodal large language model (LLM) analyzes the source — whether it’s a research paper, textbook PDF, or a plain text prompt. For complex document inputs, models like </w:t>
      </w:r>
      <w:r w:rsidDel="00000000" w:rsidR="00000000" w:rsidRPr="00000000">
        <w:rPr>
          <w:i w:val="1"/>
          <w:rtl w:val="0"/>
        </w:rPr>
        <w:t xml:space="preserve">Gemini 2.0 Flash</w:t>
      </w:r>
      <w:r w:rsidDel="00000000" w:rsidR="00000000" w:rsidRPr="00000000">
        <w:rPr>
          <w:rtl w:val="0"/>
        </w:rPr>
        <w:t xml:space="preserve"> handle visual and textual comprehension, while </w:t>
      </w:r>
      <w:r w:rsidDel="00000000" w:rsidR="00000000" w:rsidRPr="00000000">
        <w:rPr>
          <w:i w:val="1"/>
          <w:rtl w:val="0"/>
        </w:rPr>
        <w:t xml:space="preserve">LLaMA 3.3 70B</w:t>
      </w:r>
      <w:r w:rsidDel="00000000" w:rsidR="00000000" w:rsidRPr="00000000">
        <w:rPr>
          <w:rtl w:val="0"/>
        </w:rPr>
        <w:t xml:space="preserve"> deals with text-based prompts. The model identifies and organizes essential elements such as definitions, equations, theorems, and conceptual metaphors. These are compiled into a Markdown “Scene Description” that outlines topics, key LaTeX-formatted equations, proposed visuals, and animation flow. This step converts dense academic material into a clear, step-by-step storyboard suitable for visual rendering.</w:t>
      </w:r>
    </w:p>
    <w:p w:rsidR="00000000" w:rsidDel="00000000" w:rsidP="00000000" w:rsidRDefault="00000000" w:rsidRPr="00000000" w14:paraId="00000004">
      <w:pPr>
        <w:rPr/>
      </w:pPr>
      <w:r w:rsidDel="00000000" w:rsidR="00000000" w:rsidRPr="00000000">
        <w:rPr>
          <w:b w:val="1"/>
          <w:rtl w:val="0"/>
        </w:rPr>
        <w:br w:type="textWrapping"/>
      </w:r>
      <w:r w:rsidDel="00000000" w:rsidR="00000000" w:rsidRPr="00000000">
        <w:rPr>
          <w:rtl w:val="0"/>
        </w:rPr>
        <w:t xml:space="preserve"> Once the structured scene description is ready, the second stage translates this plan into executable Python code using a code-specialized LLM such as </w:t>
      </w:r>
      <w:r w:rsidDel="00000000" w:rsidR="00000000" w:rsidRPr="00000000">
        <w:rPr>
          <w:i w:val="1"/>
          <w:rtl w:val="0"/>
        </w:rPr>
        <w:t xml:space="preserve">DeepSeek-V3</w:t>
      </w:r>
      <w:r w:rsidDel="00000000" w:rsidR="00000000" w:rsidRPr="00000000">
        <w:rPr>
          <w:rtl w:val="0"/>
        </w:rPr>
        <w:t xml:space="preserve"> or </w:t>
      </w:r>
      <w:r w:rsidDel="00000000" w:rsidR="00000000" w:rsidRPr="00000000">
        <w:rPr>
          <w:i w:val="1"/>
          <w:rtl w:val="0"/>
        </w:rPr>
        <w:t xml:space="preserve">Qwen2.5-Coder</w:t>
      </w:r>
      <w:r w:rsidDel="00000000" w:rsidR="00000000" w:rsidRPr="00000000">
        <w:rPr>
          <w:rtl w:val="0"/>
        </w:rPr>
        <w:t xml:space="preserve">. This model acts as an expert in the Manim animation engine and follows strict few-shot examples to maintain quality and consistency. It generates classes, scenes, and transitions, ensuring proper sequencing, timing, and clarity. The model also embeds mathematical notations, creates smooth animations, and prevents clutter by spacing out visual elements. Essentially, this phase transforms conceptual descriptions into Manim-compatible scripts that represent both the logical and aesthetic flow of the content.</w:t>
      </w:r>
    </w:p>
    <w:p w:rsidR="00000000" w:rsidDel="00000000" w:rsidP="00000000" w:rsidRDefault="00000000" w:rsidRPr="00000000" w14:paraId="00000005">
      <w:pPr>
        <w:rPr/>
      </w:pPr>
      <w:r w:rsidDel="00000000" w:rsidR="00000000" w:rsidRPr="00000000">
        <w:rPr>
          <w:b w:val="1"/>
          <w:rtl w:val="0"/>
        </w:rPr>
        <w:br w:type="textWrapping"/>
      </w:r>
      <w:r w:rsidDel="00000000" w:rsidR="00000000" w:rsidRPr="00000000">
        <w:rPr>
          <w:rtl w:val="0"/>
        </w:rPr>
        <w:t xml:space="preserve"> In the final stage, the generated Python script is executed through the Manim library to render the animation into an MP4 video. Dependencies like </w:t>
      </w:r>
      <w:r w:rsidDel="00000000" w:rsidR="00000000" w:rsidRPr="00000000">
        <w:rPr>
          <w:i w:val="1"/>
          <w:rtl w:val="0"/>
        </w:rPr>
        <w:t xml:space="preserve">FFmpeg</w:t>
      </w:r>
      <w:r w:rsidDel="00000000" w:rsidR="00000000" w:rsidRPr="00000000">
        <w:rPr>
          <w:rtl w:val="0"/>
        </w:rPr>
        <w:t xml:space="preserve"> handle the video compilation, ensuring smooth output. The rendered animation visually explains the input concepts through synchronized motion, text, and graphics — making abstract topics easier to understand. Manimator’s effectiveness was validated using the </w:t>
      </w:r>
      <w:r w:rsidDel="00000000" w:rsidR="00000000" w:rsidRPr="00000000">
        <w:rPr>
          <w:i w:val="1"/>
          <w:rtl w:val="0"/>
        </w:rPr>
        <w:t xml:space="preserve">TheoremExplainBench (TEB)</w:t>
      </w:r>
      <w:r w:rsidDel="00000000" w:rsidR="00000000" w:rsidRPr="00000000">
        <w:rPr>
          <w:rtl w:val="0"/>
        </w:rPr>
        <w:t xml:space="preserve"> benchmark, where it scored the highest overall accuracy (0.845) among comparable systems. Human evaluations by engineering students further confirmed that Manimator’s output stood out for its visual clarity, logical organization, and ability to simplify complex academic material into engaging educational animations.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work points out that Manim animations are normally developed with deep programming and domain expertise, while Manimator automatically generates these; hence, it opens the door for educators and students who lack experience in programming. The evaluation results by benchmarks like TheoremExplainBench show that Manimator produces coherent and visually consistent animations, outperforming several baseline LLM systems.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To conclude, Manimator democratizes educational content creation, helping learners better understand complex concepts in STEM. They envision it as a step toward scalable, automated visual learning resources powered by LLMs. This article aligns directly with the objectives of LearnNova, which also focuses on automating the creation of educational content with LLMs using the Manim framework. Whereas Manimator converts research papers and general text into explanatory animations, LearnNova extends the idea by focusing on creating didactic video tutorials in mathematics and physics, integrating script writing, Manim animation, and text-to-speech narration into a unified workflow. Both of these systems share the vision of making high-quality visual learning accessible, scalable, and pedagogically effective through automation.</w:t>
      </w:r>
    </w:p>
    <w:sectPr>
      <w:pgSz w:h="16838" w:w="11906" w:orient="portrait"/>
      <w:pgMar w:bottom="283.46456692913387" w:top="283.46456692913387"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