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2B88E" w14:textId="77777777" w:rsidR="00784577" w:rsidRPr="00565663" w:rsidRDefault="00000000">
      <w:pPr>
        <w:spacing w:after="60" w:line="240" w:lineRule="auto"/>
        <w:rPr>
          <w:sz w:val="24"/>
          <w:szCs w:val="24"/>
        </w:rPr>
      </w:pPr>
      <w:r w:rsidRPr="00565663">
        <w:rPr>
          <w:sz w:val="24"/>
          <w:szCs w:val="24"/>
        </w:rPr>
        <w:t>The article “VideoCrafter2: Overcoming Data Limitations for High-Quality Video Diffusion Models” by Chen et al. from Tencent AI Lab explores a fundamental challenge in text-to-video generation: creating visually high-quality and temporally consistent videos without access to massive, curated video datasets. While commercial systems like Runway Gen-2 and Pika Labs achieve impressive visual realism, they rely on large-scale proprietary video corpora that are inaccessible to the research community. The authors address this gap by proposing a method that uses only low-quality video data and high-quality synthetic images to train diffusion-based video models capable of producing superior results. Their approach centers on disentangling the learning of motion and appearance at the data level—motion is learned from low-quality videos such as WebVid-10M, while picture quality and aesthetic refinement are learned from high-quality images generated by models like Midjourney. Through this separation, VideoCrafter2 achieves both visual fidelity and motion stability without requiring expensive data resources.</w:t>
      </w:r>
      <w:r w:rsidRPr="00565663">
        <w:rPr>
          <w:sz w:val="24"/>
          <w:szCs w:val="24"/>
        </w:rPr>
        <w:br/>
      </w:r>
      <w:r w:rsidRPr="00565663">
        <w:rPr>
          <w:sz w:val="24"/>
          <w:szCs w:val="24"/>
        </w:rPr>
        <w:br/>
        <w:t>The article presents a deep analysis of the spatial-temporal coupling within video diffusion models and demonstrates that fully trained models, which jointly learn both spatial and temporal modules, exhibit stronger coupling and thus greater resilience during fine-tuning. This finding is crucial for maintaining motion consistency even when improving visual quality. The researchers employ LoRA-based fine-tuning to adapt the spatial modules using high-quality image data and show that this method significantly enhances image realism without compromising temporal coherence. Evaluations using the EvalCrafter benchmark reveal that the resulting model performs competitively with leading commercial systems in terms of visual quality, text-video alignment, and user preference, despite being trained on far more limited data.</w:t>
      </w:r>
      <w:r w:rsidRPr="00565663">
        <w:rPr>
          <w:sz w:val="24"/>
          <w:szCs w:val="24"/>
        </w:rPr>
        <w:br/>
      </w:r>
      <w:r w:rsidRPr="00565663">
        <w:rPr>
          <w:sz w:val="24"/>
          <w:szCs w:val="24"/>
        </w:rPr>
        <w:br/>
        <w:t>When related to the LearnNova project—an AI-powered system that automates the creation of educational videos in mathematics and physics using large language models (LLMs), Manim animations, and text-to-speech synthesis—the conceptual connection becomes clear. Both VideoCrafter2 and LearnNova are designed to overcome the limitations of existing generative systems by leveraging fine-tuning, modular architectures, and data-efficient training. LearnNova tackles a pedagogical challenge: generating accurate, synchronized, and narratively coherent educational videos without requiring programming expertise. Similarly, VideoCrafter2 addresses the technical limitation of producing visually compelling videos without access to ideal training data. While their application domains differ, their underlying objectives align in automating complex content creation while maintaining accuracy and quality.</w:t>
      </w:r>
      <w:r w:rsidRPr="00565663">
        <w:rPr>
          <w:sz w:val="24"/>
          <w:szCs w:val="24"/>
        </w:rPr>
        <w:br/>
      </w:r>
      <w:r w:rsidRPr="00565663">
        <w:rPr>
          <w:sz w:val="24"/>
          <w:szCs w:val="24"/>
        </w:rPr>
        <w:br/>
        <w:t xml:space="preserve">In LearnNova, the process of transforming textual input into animated and narrated video lessons parallels the modular workflow of VideoCrafter2. LearnNova’s pipeline—where text is converted into scripts by a language model, then transformed into Manim animations and synchronized with narration—resembles the multi-stage fine-tuning in VideoCrafter2, where motion and appearance are trained separately before integration. Both systems use LoRA or QLoRA fine-tuning to efficiently adapt pre-trained models for specialized domains. LearnNova focuses on conceptual clarity and pedagogical synchronization, ensuring that generated animations are mathematically and scientifically </w:t>
      </w:r>
      <w:r w:rsidRPr="00565663">
        <w:rPr>
          <w:sz w:val="24"/>
          <w:szCs w:val="24"/>
        </w:rPr>
        <w:lastRenderedPageBreak/>
        <w:t>accurate, while VideoCrafter2 emphasizes visual and motion coherence in general-purpose video generation. Despite targeting different outcomes, both projects highlight how careful model design and domain-specific data adaptation can yield robust and automated video generation pipelines.</w:t>
      </w:r>
      <w:r w:rsidRPr="00565663">
        <w:rPr>
          <w:sz w:val="24"/>
          <w:szCs w:val="24"/>
        </w:rPr>
        <w:br/>
      </w:r>
      <w:r w:rsidRPr="00565663">
        <w:rPr>
          <w:sz w:val="24"/>
          <w:szCs w:val="24"/>
        </w:rPr>
        <w:br/>
        <w:t>The methods presented in VideoCrafter2 also offer insights that could directly benefit the future development of LearnNova. The notion of data-level disentanglement could be applied in educational contexts by separating the learning of conceptual animations (e.g., physics motions, mathematical transformations) from visual rendering styles. By adopting a similar approach, LearnNova could improve both the pedagogical depth and the aesthetic quality of its educational videos. Moreover, VideoCrafter2’s use of synthetic image datasets like JDB demonstrates that synthetic, domain-specific datasets—such as 3Blue1Brown Manim code in LearnNova—can be instrumental in achieving fine-tuned, high-quality outputs. Both systems underscore the importance of resource-efficient fine-tuning techniques that can adapt pre-trained models to specialized goals without requiring massive, proprietary data.</w:t>
      </w:r>
      <w:r w:rsidRPr="00565663">
        <w:rPr>
          <w:sz w:val="24"/>
          <w:szCs w:val="24"/>
        </w:rPr>
        <w:br/>
      </w:r>
      <w:r w:rsidRPr="00565663">
        <w:rPr>
          <w:sz w:val="24"/>
          <w:szCs w:val="24"/>
        </w:rPr>
        <w:br/>
        <w:t>In summary, the VideoCrafter2 paper contributes valuable methodological insights that closely align with the goals of LearnNova. Both initiatives represent a new generation of AI-driven automation—one in cinematic video creation, the other in educational content generation—united by the principle of optimizing quality under limited data and resource conditions. VideoCrafter2’s emphasis on spatial-temporal consistency, modular learning, and synthetic data utilization parallels LearnNova’s strategy of combining LLM-based scripting, TTS narration, and Manim animation into a coherent and scalable video generation system. Together, they illustrate how advancements in diffusion-based video modeling and large language model adaptation can collectively push the boundaries of automated, intelligent video generation for both general and educational applications.</w:t>
      </w:r>
      <w:r w:rsidRPr="00565663">
        <w:rPr>
          <w:sz w:val="24"/>
          <w:szCs w:val="24"/>
        </w:rPr>
        <w:br/>
      </w:r>
    </w:p>
    <w:sectPr w:rsidR="00784577" w:rsidRPr="0056566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9728003">
    <w:abstractNumId w:val="8"/>
  </w:num>
  <w:num w:numId="2" w16cid:durableId="1891335508">
    <w:abstractNumId w:val="6"/>
  </w:num>
  <w:num w:numId="3" w16cid:durableId="1021706593">
    <w:abstractNumId w:val="5"/>
  </w:num>
  <w:num w:numId="4" w16cid:durableId="1241257145">
    <w:abstractNumId w:val="4"/>
  </w:num>
  <w:num w:numId="5" w16cid:durableId="1869560543">
    <w:abstractNumId w:val="7"/>
  </w:num>
  <w:num w:numId="6" w16cid:durableId="1213078879">
    <w:abstractNumId w:val="3"/>
  </w:num>
  <w:num w:numId="7" w16cid:durableId="245039166">
    <w:abstractNumId w:val="2"/>
  </w:num>
  <w:num w:numId="8" w16cid:durableId="645278247">
    <w:abstractNumId w:val="1"/>
  </w:num>
  <w:num w:numId="9" w16cid:durableId="19187114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1D4E"/>
    <w:rsid w:val="00262E6D"/>
    <w:rsid w:val="0029639D"/>
    <w:rsid w:val="00326F90"/>
    <w:rsid w:val="00565663"/>
    <w:rsid w:val="0078457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7485F5"/>
  <w14:defaultImageDpi w14:val="300"/>
  <w15:docId w15:val="{96B90E70-F0B4-D140-885C-82FCDA4AD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831</Words>
  <Characters>4739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l227765Lyba Yaqub</cp:lastModifiedBy>
  <cp:revision>2</cp:revision>
  <dcterms:created xsi:type="dcterms:W3CDTF">2025-11-07T12:21:00Z</dcterms:created>
  <dcterms:modified xsi:type="dcterms:W3CDTF">2025-11-07T12:21:00Z</dcterms:modified>
  <cp:category/>
</cp:coreProperties>
</file>