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B2A4A"/>
          <w:sz w:val="68"/>
        </w:rPr>
        <w:t>Caltech AWS Infrastructure</w:t>
      </w:r>
    </w:p>
    <w:p>
      <w:pPr>
        <w:jc w:val="center"/>
      </w:pPr>
      <w:r>
        <w:rPr>
          <w:rFonts w:ascii="Calibri" w:hAnsi="Calibri"/>
          <w:color w:val="1F4E79"/>
          <w:sz w:val="40"/>
        </w:rPr>
        <w:t>Terraform Deployment Guide</w:t>
      </w:r>
    </w:p>
    <w:p/>
    <w:p>
      <w:pPr>
        <w:jc w:val="center"/>
      </w:pPr>
      <w:r>
        <w:rPr>
          <w:color w:val="1F4E79"/>
          <w:sz w:val="28"/>
        </w:rPr>
        <w:t>━━━━━━━━━━━━━━━━━━━━</w:t>
      </w:r>
    </w:p>
    <w:p/>
    <w:p>
      <w:pPr>
        <w:ind w:left="1134" w:right="1134"/>
        <w:jc w:val="center"/>
      </w:pPr>
      <w:r>
        <w:rPr>
          <w:i/>
          <w:color w:val="555555"/>
          <w:sz w:val="24"/>
        </w:rPr>
        <w:t>A production-grade Change Data Capture (CDC) pipeline on AWS: PostgreSQL → Debezium → Kafka (MSK) → PostgreSQL Sink + Redis Cache. Deployed and managed entirely through Terraform with a 4-environment promotion path.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b/>
                <w:color w:val="0B2A4A"/>
                <w:sz w:val="21"/>
              </w:rPr>
              <w:t>AWS Account</w:t>
            </w:r>
          </w:p>
        </w:tc>
        <w:tc>
          <w:tcPr>
            <w:tcW w:type="dxa" w:w="5102"/>
            <w:vAlign w:val="center"/>
          </w:tcPr>
          <w:p>
            <w:r>
              <w:rPr>
                <w:color w:val="555555"/>
                <w:sz w:val="21"/>
              </w:rPr>
              <w:t>342448511503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b/>
                <w:color w:val="0B2A4A"/>
                <w:sz w:val="21"/>
              </w:rPr>
              <w:t>AWS Profile</w:t>
            </w:r>
          </w:p>
        </w:tc>
        <w:tc>
          <w:tcPr>
            <w:tcW w:type="dxa" w:w="5102"/>
            <w:vAlign w:val="center"/>
          </w:tcPr>
          <w:p>
            <w:r>
              <w:rPr>
                <w:color w:val="555555"/>
                <w:sz w:val="21"/>
              </w:rPr>
              <w:t>default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b/>
                <w:color w:val="0B2A4A"/>
                <w:sz w:val="21"/>
              </w:rPr>
              <w:t>State Storage</w:t>
            </w:r>
          </w:p>
        </w:tc>
        <w:tc>
          <w:tcPr>
            <w:tcW w:type="dxa" w:w="5102"/>
            <w:vAlign w:val="center"/>
          </w:tcPr>
          <w:p>
            <w:r>
              <w:rPr>
                <w:color w:val="555555"/>
                <w:sz w:val="21"/>
              </w:rPr>
              <w:t>Amazon S3 (native locking)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b/>
                <w:color w:val="0B2A4A"/>
                <w:sz w:val="21"/>
              </w:rPr>
              <w:t>Active Environment</w:t>
            </w:r>
          </w:p>
        </w:tc>
        <w:tc>
          <w:tcPr>
            <w:tcW w:type="dxa" w:w="5102"/>
            <w:vAlign w:val="center"/>
          </w:tcPr>
          <w:p>
            <w:r>
              <w:rPr>
                <w:color w:val="555555"/>
                <w:sz w:val="21"/>
              </w:rPr>
              <w:t>POC (us-west-2) · DEV ready (us-east-2)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b/>
                <w:color w:val="0B2A4A"/>
                <w:sz w:val="21"/>
              </w:rPr>
              <w:t>Document Version</w:t>
            </w:r>
          </w:p>
        </w:tc>
        <w:tc>
          <w:tcPr>
            <w:tcW w:type="dxa" w:w="5102"/>
            <w:vAlign w:val="center"/>
          </w:tcPr>
          <w:p>
            <w:r>
              <w:rPr>
                <w:color w:val="555555"/>
                <w:sz w:val="21"/>
              </w:rPr>
              <w:t>1.0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b/>
                <w:color w:val="0B2A4A"/>
                <w:sz w:val="21"/>
              </w:rPr>
              <w:t>Date</w:t>
            </w:r>
          </w:p>
        </w:tc>
        <w:tc>
          <w:tcPr>
            <w:tcW w:type="dxa" w:w="5102"/>
            <w:vAlign w:val="center"/>
          </w:tcPr>
          <w:p>
            <w:r>
              <w:rPr>
                <w:color w:val="555555"/>
                <w:sz w:val="21"/>
              </w:rPr>
              <w:t>June 24, 2026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b/>
                <w:color w:val="0B2A4A"/>
                <w:sz w:val="21"/>
              </w:rPr>
              <w:t>Prepared By</w:t>
            </w:r>
          </w:p>
        </w:tc>
        <w:tc>
          <w:tcPr>
            <w:tcW w:type="dxa" w:w="5102"/>
            <w:vAlign w:val="center"/>
          </w:tcPr>
          <w:p>
            <w:r>
              <w:rPr>
                <w:color w:val="555555"/>
                <w:sz w:val="21"/>
              </w:rPr>
              <w:t>panicleTech — Platform Team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b/>
                <w:color w:val="0B2A4A"/>
                <w:sz w:val="21"/>
              </w:rPr>
              <w:t>Prepared For</w:t>
            </w:r>
          </w:p>
        </w:tc>
        <w:tc>
          <w:tcPr>
            <w:tcW w:type="dxa" w:w="5102"/>
            <w:vAlign w:val="center"/>
          </w:tcPr>
          <w:p>
            <w:r>
              <w:rPr>
                <w:color w:val="555555"/>
                <w:sz w:val="21"/>
              </w:rPr>
              <w:t>Caltech / TCS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0B2A4A"/>
          <w:sz w:val="44"/>
        </w:rPr>
        <w:t>Table of Contents</w:t>
      </w:r>
    </w:p>
    <w:p>
      <w:pPr>
        <w:pBdr>
          <w:bottom w:val="single" w:sz="8" w:space="1" w:color="BFBFBF"/>
        </w:pBdr>
      </w:pPr>
    </w:p>
    <w:p>
      <w:r>
        <w:fldChar w:fldCharType="begin"/>
        <w:instrText xml:space="preserve">TOC \o "1-3" \h \z \u</w:instrText>
        <w:fldChar w:fldCharType="separate"/>
        <w:t>Right-click and choose 'Update Field' in Word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What gets deployed</w:t>
      </w:r>
    </w:p>
    <w:p>
      <w:pPr>
        <w:pBdr>
          <w:bottom w:val="single" w:sz="8" w:space="1" w:color="BFBFBF"/>
        </w:pBdr>
      </w:pP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VPC + Subnets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Optional — built fresh by </w:t>
            </w:r>
            <w:r>
              <w:rPr>
                <w:rFonts w:ascii="Consolas" w:hAnsi="Consolas"/>
                <w:color w:val="B11F5A"/>
                <w:sz w:val="20"/>
              </w:rPr>
              <w:t>module.vpc</w:t>
            </w:r>
            <w:r>
              <w:rPr>
                <w:rFonts w:ascii="Calibri" w:hAnsi="Calibri"/>
                <w:b w:val="0"/>
                <w:sz w:val="20"/>
              </w:rPr>
              <w:t xml:space="preserve"> when </w:t>
            </w:r>
            <w:r>
              <w:rPr>
                <w:rFonts w:ascii="Consolas" w:hAnsi="Consolas"/>
                <w:color w:val="B11F5A"/>
                <w:sz w:val="20"/>
              </w:rPr>
              <w:t>create_vpc = true</w:t>
            </w:r>
            <w:r>
              <w:rPr>
                <w:rFonts w:ascii="Calibri" w:hAnsi="Calibri"/>
                <w:b w:val="0"/>
                <w:sz w:val="20"/>
              </w:rPr>
              <w:t xml:space="preserve">, or reuses an existing VPC when </w:t>
            </w:r>
            <w:r>
              <w:rPr>
                <w:rFonts w:ascii="Consolas" w:hAnsi="Consolas"/>
                <w:color w:val="B11F5A"/>
                <w:sz w:val="20"/>
              </w:rPr>
              <w:t>false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EC2 app servers</w:t>
            </w:r>
            <w:r>
              <w:rPr>
                <w:rFonts w:ascii="Calibri" w:hAnsi="Calibri"/>
                <w:b w:val="0"/>
                <w:sz w:val="20"/>
              </w:rPr>
              <w:t xml:space="preserve"> (×3)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app-server</w:t>
            </w:r>
            <w:r>
              <w:rPr>
                <w:rFonts w:ascii="Calibri" w:hAnsi="Calibri"/>
                <w:b w:val="0"/>
                <w:sz w:val="20"/>
              </w:rPr>
              <w:t xml:space="preserve"> (transaction simulator) + </w:t>
            </w:r>
            <w:r>
              <w:rPr>
                <w:rFonts w:ascii="Consolas" w:hAnsi="Consolas"/>
                <w:color w:val="B11F5A"/>
                <w:sz w:val="20"/>
              </w:rPr>
              <w:t>pg-sink-app-server</w:t>
            </w:r>
            <w:r>
              <w:rPr>
                <w:rFonts w:ascii="Calibri" w:hAnsi="Calibri"/>
                <w:b w:val="0"/>
                <w:sz w:val="20"/>
              </w:rPr>
              <w:t xml:space="preserve"> + </w:t>
            </w:r>
            <w:r>
              <w:rPr>
                <w:rFonts w:ascii="Consolas" w:hAnsi="Consolas"/>
                <w:color w:val="B11F5A"/>
                <w:sz w:val="20"/>
              </w:rPr>
              <w:t>redis-sink-app-server</w:t>
            </w:r>
            <w:r>
              <w:rPr>
                <w:rFonts w:ascii="Calibri" w:hAnsi="Calibri"/>
                <w:b w:val="0"/>
                <w:sz w:val="20"/>
              </w:rPr>
              <w:t xml:space="preserve">. No public IPs — SSM Session Manager access only. Subnet tier controlled by </w:t>
            </w:r>
            <w:r>
              <w:rPr>
                <w:rFonts w:ascii="Consolas" w:hAnsi="Consolas"/>
                <w:color w:val="B11F5A"/>
                <w:sz w:val="20"/>
              </w:rPr>
              <w:t>ec2_in_private_subnet</w:t>
            </w:r>
            <w:r>
              <w:rPr>
                <w:rFonts w:ascii="Calibri" w:hAnsi="Calibri"/>
                <w:b w:val="0"/>
                <w:sz w:val="20"/>
              </w:rPr>
              <w:t xml:space="preserve"> (public for legacy POC, private for DEV/QAS/PROD)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Aurora PostgreSQL Source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Serverless v2 with logical replication enabled — feeds Debezium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Aurora PostgreSQL Sink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Serverless v2 — kept as a target DB for downstream consumers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MSK Provisioned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Apache Kafka 3.9.x, multi-broker across AZs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MSK Connect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5 Debezium source connectors (one per table) — fully isolated replication slots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ElastiCache Redis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Serverless cache, TLS always-on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Supporting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KMS (5 service-scoped keys), Security Groups (least-privilege), VPC endpoints (SSM + S3), S3 (3 buckets), Secrets Manager, IAM roles</w:t>
            </w:r>
          </w:p>
        </w:tc>
      </w:tr>
    </w:tbl>
    <w:p>
      <w:pPr>
        <w:spacing w:after="80"/>
      </w:pP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Environment matrix</w:t>
      </w:r>
    </w:p>
    <w:p>
      <w:pPr>
        <w:pBdr>
          <w:bottom w:val="single" w:sz="8" w:space="1" w:color="BFBFBF"/>
        </w:pBdr>
      </w:pPr>
    </w:p>
    <w:p>
      <w:r>
        <w:rPr>
          <w:rFonts w:ascii="Calibri" w:hAnsi="Calibri"/>
          <w:b w:val="0"/>
          <w:sz w:val="22"/>
        </w:rPr>
        <w:t xml:space="preserve">The same codebase deploys through </w:t>
      </w:r>
      <w:r>
        <w:rPr>
          <w:rFonts w:ascii="Calibri" w:hAnsi="Calibri"/>
          <w:b/>
          <w:sz w:val="22"/>
        </w:rPr>
        <w:t>4 environments</w:t>
      </w:r>
      <w:r>
        <w:rPr>
          <w:rFonts w:ascii="Calibri" w:hAnsi="Calibri"/>
          <w:b w:val="0"/>
          <w:sz w:val="22"/>
        </w:rPr>
        <w:t xml:space="preserve"> in order: </w:t>
      </w:r>
      <w:r>
        <w:rPr>
          <w:rFonts w:ascii="Calibri" w:hAnsi="Calibri"/>
          <w:b/>
          <w:sz w:val="22"/>
        </w:rPr>
        <w:t>POC → DEV → QAS → PROD</w:t>
      </w:r>
      <w:r>
        <w:rPr>
          <w:rFonts w:ascii="Calibri" w:hAnsi="Calibri"/>
          <w:b w:val="0"/>
          <w:sz w:val="22"/>
        </w:rPr>
        <w:t>. Each environment is fully isolated — separate state file in S3, separate AWS resources, separate variables.</w:t>
      </w:r>
    </w:p>
    <w:p>
      <w:pPr>
        <w:spacing w:before="120" w:after="120"/>
        <w:ind w:left="283" w:right="283"/>
        <w:shd w:val="clear" w:color="auto" w:fill="FFF7E0"/>
        <w:pBdr>
          <w:left w:val="single" w:sz="24" w:space="6" w:color="E0A800"/>
        </w:pBdr>
      </w:pPr>
      <w:r>
        <w:rPr>
          <w:rFonts w:ascii="Calibri" w:hAnsi="Calibri"/>
          <w:b/>
          <w:i/>
          <w:sz w:val="22"/>
        </w:rPr>
        <w:t>DEV mirrors POC.</w:t>
      </w:r>
      <w:r>
        <w:rPr>
          <w:rFonts w:ascii="Calibri" w:hAnsi="Calibri"/>
          <w:b w:val="0"/>
          <w:i/>
          <w:sz w:val="22"/>
        </w:rPr>
        <w:t xml:space="preserve"> Sizing, node counts, ACU limits, retention windows and protection flags are identical to POC. The only differences are region (us-east-2), a fresh VPC, EC2 placed in </w:t>
      </w:r>
      <w:r>
        <w:rPr>
          <w:rFonts w:ascii="Calibri" w:hAnsi="Calibri"/>
          <w:b/>
          <w:i/>
          <w:sz w:val="22"/>
        </w:rPr>
        <w:t>private</w:t>
      </w:r>
      <w:r>
        <w:rPr>
          <w:rFonts w:ascii="Calibri" w:hAnsi="Calibri"/>
          <w:b w:val="0"/>
          <w:i/>
          <w:sz w:val="22"/>
        </w:rPr>
        <w:t xml:space="preserve"> subnets (per MoM), and dev-specific naming (AMI / key pair / topic prefix / plugin names).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POC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✅ active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DEV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🟡 ready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QAS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🔲 future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PROD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🔲 future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Region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us-west-2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us-east-2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Backend config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envs/poc.backend.hcl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envs/dev.backend.hcl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envs/qas.backend.hcl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envs/prod.backend.hcl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Variable file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envs/poc.tfvars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envs/dev.tfvars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envs/qas.tfvars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envs/prod.tfvars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State key in S3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caltech/poc/terraform.tfstate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caltech/dev/terraform.tfstate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caltech/qas/...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caltech/prod/...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Resource prefix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caltech-poc-*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caltech-dev-*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caltech-qas-*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caltech-prod-*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VPC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Existing (</w:t>
            </w:r>
            <w:r>
              <w:rPr>
                <w:rFonts w:ascii="Consolas" w:hAnsi="Consolas"/>
                <w:color w:val="B11F5A"/>
                <w:sz w:val="20"/>
              </w:rPr>
              <w:t>vpc-0ed44b92f11b73815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Created by Terraform (</w:t>
            </w:r>
            <w:r>
              <w:rPr>
                <w:rFonts w:ascii="Consolas" w:hAnsi="Consolas"/>
                <w:color w:val="B11F5A"/>
                <w:sz w:val="20"/>
              </w:rPr>
              <w:t>10.146.0.0/16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EC2 placement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Public subnet (legacy)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Private subnet</w:t>
            </w:r>
            <w:r>
              <w:rPr>
                <w:rFonts w:ascii="Calibri" w:hAnsi="Calibri"/>
                <w:b w:val="0"/>
                <w:sz w:val="20"/>
              </w:rPr>
              <w:t xml:space="preserve"> (</w:t>
            </w:r>
            <w:r>
              <w:rPr>
                <w:rFonts w:ascii="Consolas" w:hAnsi="Consolas"/>
                <w:color w:val="B11F5A"/>
                <w:sz w:val="20"/>
              </w:rPr>
              <w:t>ec2_in_private_subnet = true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Private subnet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Private subnet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Inbound admin access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SSM Session Manager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SSM Session Manager (VPC endpoints)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SSM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SSM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Outbound internet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Direct via IGW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NAT Gateway only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NAT Gateway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NAT Gateway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EC2 — app server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m6i.2xlarge</w:t>
            </w:r>
            <w:r>
              <w:rPr>
                <w:rFonts w:ascii="Calibri" w:hAnsi="Calibri"/>
                <w:b w:val="0"/>
                <w:sz w:val="20"/>
              </w:rPr>
              <w:t xml:space="preserve"> (8 vCPU, 32 GiB)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m6i.2xlarge</w:t>
            </w:r>
            <w:r>
              <w:rPr>
                <w:rFonts w:ascii="Calibri" w:hAnsi="Calibri"/>
                <w:b w:val="0"/>
                <w:sz w:val="20"/>
              </w:rPr>
              <w:t xml:space="preserve"> *(same as POC)*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EC2 — sink servers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t3.xlarge</w:t>
            </w:r>
            <w:r>
              <w:rPr>
                <w:rFonts w:ascii="Calibri" w:hAnsi="Calibri"/>
                <w:b w:val="0"/>
                <w:sz w:val="20"/>
              </w:rPr>
              <w:t xml:space="preserve"> (×2)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t3.xlarge</w:t>
            </w:r>
            <w:r>
              <w:rPr>
                <w:rFonts w:ascii="Calibri" w:hAnsi="Calibri"/>
                <w:b w:val="0"/>
                <w:sz w:val="20"/>
              </w:rPr>
              <w:t xml:space="preserve"> (×2) *(same as POC)*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EC2 root volume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100 GB gp3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100 GB gp3 *(same as POC)*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MSK brokers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3 × </w:t>
            </w:r>
            <w:r>
              <w:rPr>
                <w:rFonts w:ascii="Consolas" w:hAnsi="Consolas"/>
                <w:color w:val="B11F5A"/>
                <w:sz w:val="20"/>
              </w:rPr>
              <w:t>kafka.m5.2xlarge</w:t>
            </w:r>
            <w:r>
              <w:rPr>
                <w:rFonts w:ascii="Calibri" w:hAnsi="Calibri"/>
                <w:b w:val="0"/>
                <w:sz w:val="20"/>
              </w:rPr>
              <w:t xml:space="preserve"> (1 TB EBS each)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3 × </w:t>
            </w:r>
            <w:r>
              <w:rPr>
                <w:rFonts w:ascii="Consolas" w:hAnsi="Consolas"/>
                <w:color w:val="B11F5A"/>
                <w:sz w:val="20"/>
              </w:rPr>
              <w:t>kafka.m5.2xlarge</w:t>
            </w:r>
            <w:r>
              <w:rPr>
                <w:rFonts w:ascii="Calibri" w:hAnsi="Calibri"/>
                <w:b w:val="0"/>
                <w:sz w:val="20"/>
              </w:rPr>
              <w:t xml:space="preserve"> (1 TB EBS each) *(same as POC)*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MSK Connect workers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 → 4 (auto-scaling)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 → 4 (auto-scaling) *(same as POC)*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Aurora min/max ACU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0.5 / 16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0.5 / 16 *(same as POC)*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Redis storage / ECPU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1–100 GB / 1k–500k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1–100 GB / 1k–500k *(same as POC)*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Backup retention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7 days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7 days *(same as POC)*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7–30 days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Deletion protection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✅ enabled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✅ enabled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✅ enabled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✅ enabled</w:t>
            </w:r>
          </w:p>
        </w:tc>
      </w:tr>
    </w:tbl>
    <w:p>
      <w:pPr>
        <w:spacing w:after="80"/>
      </w:pPr>
    </w:p>
    <w:p>
      <w:pPr>
        <w:spacing w:before="120" w:after="120"/>
        <w:ind w:left="283" w:right="283"/>
        <w:shd w:val="clear" w:color="auto" w:fill="FFF7E0"/>
        <w:pBdr>
          <w:left w:val="single" w:sz="24" w:space="6" w:color="E0A800"/>
        </w:pBdr>
      </w:pPr>
      <w:r>
        <w:rPr>
          <w:rFonts w:ascii="Calibri" w:hAnsi="Calibri"/>
          <w:b/>
          <w:i/>
          <w:sz w:val="22"/>
        </w:rPr>
        <w:t>Promotion path:</w:t>
      </w:r>
      <w:r>
        <w:rPr>
          <w:rFonts w:ascii="Calibri" w:hAnsi="Calibri"/>
          <w:b w:val="0"/>
          <w:i/>
          <w:sz w:val="22"/>
        </w:rPr>
        <w:t xml:space="preserve"> validate in POC → deploy to DEV → after dev sign-off, copy </w:t>
      </w:r>
      <w:r>
        <w:rPr>
          <w:rFonts w:ascii="Consolas" w:hAnsi="Consolas"/>
          <w:i/>
          <w:color w:val="B11F5A"/>
          <w:sz w:val="21"/>
        </w:rPr>
        <w:t>dev.tfvars</w:t>
      </w:r>
      <w:r>
        <w:rPr>
          <w:rFonts w:ascii="Calibri" w:hAnsi="Calibri"/>
          <w:b w:val="0"/>
          <w:i/>
          <w:sz w:val="22"/>
        </w:rPr>
        <w:t xml:space="preserve"> → </w:t>
      </w:r>
      <w:r>
        <w:rPr>
          <w:rFonts w:ascii="Consolas" w:hAnsi="Consolas"/>
          <w:i/>
          <w:color w:val="B11F5A"/>
          <w:sz w:val="21"/>
        </w:rPr>
        <w:t>qas.tfvars</w:t>
      </w:r>
      <w:r>
        <w:rPr>
          <w:rFonts w:ascii="Calibri" w:hAnsi="Calibri"/>
          <w:b w:val="0"/>
          <w:i/>
          <w:sz w:val="22"/>
        </w:rPr>
        <w:t xml:space="preserve"> with adjustments → after QAS sign-off, copy </w:t>
      </w:r>
      <w:r>
        <w:rPr>
          <w:rFonts w:ascii="Consolas" w:hAnsi="Consolas"/>
          <w:i/>
          <w:color w:val="B11F5A"/>
          <w:sz w:val="21"/>
        </w:rPr>
        <w:t>qas.*</w:t>
      </w:r>
      <w:r>
        <w:rPr>
          <w:rFonts w:ascii="Calibri" w:hAnsi="Calibri"/>
          <w:b w:val="0"/>
          <w:i/>
          <w:sz w:val="22"/>
        </w:rPr>
        <w:t xml:space="preserve"> → </w:t>
      </w:r>
      <w:r>
        <w:rPr>
          <w:rFonts w:ascii="Consolas" w:hAnsi="Consolas"/>
          <w:i/>
          <w:color w:val="B11F5A"/>
          <w:sz w:val="21"/>
        </w:rPr>
        <w:t>prod.*</w:t>
      </w:r>
      <w:r>
        <w:rPr>
          <w:rFonts w:ascii="Calibri" w:hAnsi="Calibri"/>
          <w:b w:val="0"/>
          <w:i/>
          <w:sz w:val="22"/>
        </w:rPr>
        <w:t xml:space="preserve"> and enable deletion protection.</w:t>
      </w: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Network access modes (public vs private subnet)</w:t>
      </w:r>
    </w:p>
    <w:p>
      <w:pPr>
        <w:pBdr>
          <w:bottom w:val="single" w:sz="8" w:space="1" w:color="BFBFBF"/>
        </w:pBdr>
      </w:pPr>
    </w:p>
    <w:p>
      <w:r>
        <w:rPr>
          <w:rFonts w:ascii="Calibri" w:hAnsi="Calibri"/>
          <w:b w:val="0"/>
          <w:sz w:val="22"/>
        </w:rPr>
        <w:t xml:space="preserve">The variable </w:t>
      </w:r>
      <w:r>
        <w:rPr>
          <w:rFonts w:ascii="Calibri" w:hAnsi="Calibri"/>
          <w:b/>
          <w:sz w:val="22"/>
        </w:rPr>
        <w:t>`ec2_in_private_subnet`</w:t>
      </w:r>
      <w:r>
        <w:rPr>
          <w:rFonts w:ascii="Calibri" w:hAnsi="Calibri"/>
          <w:b w:val="0"/>
          <w:sz w:val="22"/>
        </w:rPr>
        <w:t xml:space="preserve"> controls where the three EC2 instances (</w:t>
      </w:r>
      <w:r>
        <w:rPr>
          <w:rFonts w:ascii="Consolas" w:hAnsi="Consolas"/>
          <w:color w:val="B11F5A"/>
          <w:sz w:val="21"/>
        </w:rPr>
        <w:t>app-server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B11F5A"/>
          <w:sz w:val="21"/>
        </w:rPr>
        <w:t>pg_sink-app-server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B11F5A"/>
          <w:sz w:val="21"/>
        </w:rPr>
        <w:t>redis_sink-app-server</w:t>
      </w:r>
      <w:r>
        <w:rPr>
          <w:rFonts w:ascii="Calibri" w:hAnsi="Calibri"/>
          <w:b w:val="0"/>
          <w:sz w:val="22"/>
        </w:rPr>
        <w:t>) are placed.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onsolas" w:hAnsi="Consolas"/>
                <w:b/>
                <w:color w:val="FFFFFF"/>
                <w:sz w:val="21"/>
              </w:rPr>
              <w:t>ec2_in_private_subnet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EC2 location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Inbound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Outbound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Used by</w:t>
            </w:r>
          </w:p>
        </w:tc>
      </w:tr>
      <w:tr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false</w:t>
            </w:r>
            <w:r>
              <w:rPr>
                <w:rFonts w:ascii="Calibri" w:hAnsi="Calibri"/>
                <w:b w:val="0"/>
                <w:sz w:val="20"/>
              </w:rPr>
              <w:t xml:space="preserve"> *(default)*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Public subnet, no public IP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SSM Session Manager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Direct via IGW</w:t>
            </w:r>
          </w:p>
        </w:tc>
        <w:tc>
          <w:tcPr>
            <w:tcW w:type="dxa" w:w="19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POC (legacy)</w:t>
            </w:r>
          </w:p>
        </w:tc>
      </w:tr>
      <w:tr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true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Private subnet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SSM Session Manager via interface endpoints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NAT Gateway only</w:t>
            </w:r>
          </w:p>
        </w:tc>
        <w:tc>
          <w:tcPr>
            <w:tcW w:type="dxa" w:w="19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DEV / QAS / PROD</w:t>
            </w:r>
            <w:r>
              <w:rPr>
                <w:rFonts w:ascii="Calibri" w:hAnsi="Calibri"/>
                <w:b w:val="0"/>
                <w:sz w:val="20"/>
              </w:rPr>
              <w:t xml:space="preserve"> (per MoM)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How private mode works (DEV and onwards)</w:t>
      </w:r>
    </w:p>
    <w:p>
      <w:r>
        <w:rPr>
          <w:rFonts w:ascii="Calibri" w:hAnsi="Calibri"/>
          <w:b w:val="0"/>
          <w:sz w:val="22"/>
        </w:rPr>
        <w:t>Per the meeting MoM ("No public subnets for core services"):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Internet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│ inbound  → blocked at NACL/SG; admins use SSM Session Manager only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│ outbound → routed through NAT Gateway (in public subnet)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VPC 10.146.0.0/16 (us-east-2)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     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PUBLIC subnets   only NAT Gateway lives here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(+ future ALB / API Gateway if exposed)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     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PRIVATE subnets  EC2 app server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EC2 pg_sink + redis_sink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Aurora Source / Sink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MSK brokers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MSK Connect workers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ElastiCache Redis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     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VPC Endpoints in private subnets (no internet hop):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• ssm / ssmmessages / ec2messages  (Session Manager)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• S3 Gateway endpoint (attached to private route table)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sz w:val="22"/>
        </w:rPr>
        <w:t>Result: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EC2 instance has a public IP.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Admin login uses </w:t>
      </w:r>
      <w:r>
        <w:rPr>
          <w:rFonts w:ascii="Consolas" w:hAnsi="Consolas"/>
          <w:color w:val="B11F5A"/>
          <w:sz w:val="21"/>
        </w:rPr>
        <w:t>aws ssm start-session</w:t>
      </w:r>
      <w:r>
        <w:rPr>
          <w:rFonts w:ascii="Calibri" w:hAnsi="Calibri"/>
          <w:b w:val="0"/>
          <w:sz w:val="22"/>
        </w:rPr>
        <w:t xml:space="preserve"> (no SSH key, no bastion).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Yum / pip / GitHub traffic exits via the NAT Gateway.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S3 traffic stays inside the VPC via the gateway endpoint.</w:t>
      </w: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Prerequisites</w:t>
      </w:r>
    </w:p>
    <w:p>
      <w:pPr>
        <w:pBdr>
          <w:bottom w:val="single" w:sz="8" w:space="1" w:color="BFBFBF"/>
        </w:pBdr>
      </w:pP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Terraform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≥ </w:t>
            </w:r>
            <w:r>
              <w:rPr>
                <w:rFonts w:ascii="Calibri" w:hAnsi="Calibri"/>
                <w:b/>
                <w:sz w:val="20"/>
              </w:rPr>
              <w:t>1.10</w:t>
            </w:r>
            <w:r>
              <w:rPr>
                <w:rFonts w:ascii="Calibri" w:hAnsi="Calibri"/>
                <w:b w:val="0"/>
                <w:sz w:val="20"/>
              </w:rPr>
              <w:t xml:space="preserve"> (required for native S3 state locking via </w:t>
            </w:r>
            <w:r>
              <w:rPr>
                <w:rFonts w:ascii="Consolas" w:hAnsi="Consolas"/>
                <w:color w:val="B11F5A"/>
                <w:sz w:val="20"/>
              </w:rPr>
              <w:t>use_lockfile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 CLI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≥ 2.x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 Provider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≥ 5.95 (set in </w:t>
            </w:r>
            <w:r>
              <w:rPr>
                <w:rFonts w:ascii="Consolas" w:hAnsi="Consolas"/>
                <w:color w:val="B11F5A"/>
                <w:sz w:val="20"/>
              </w:rPr>
              <w:t>versions.tf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 Profile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Configured in </w:t>
            </w:r>
            <w:r>
              <w:rPr>
                <w:rFonts w:ascii="Consolas" w:hAnsi="Consolas"/>
                <w:color w:val="B11F5A"/>
                <w:sz w:val="20"/>
              </w:rPr>
              <w:t>~/.aws/credentials</w:t>
            </w:r>
            <w:r>
              <w:rPr>
                <w:rFonts w:ascii="Calibri" w:hAnsi="Calibri"/>
                <w:b w:val="0"/>
                <w:sz w:val="20"/>
              </w:rPr>
              <w:t xml:space="preserve"> (default profile name: </w:t>
            </w:r>
            <w:r>
              <w:rPr>
                <w:rFonts w:ascii="Consolas" w:hAnsi="Consolas"/>
                <w:color w:val="B11F5A"/>
                <w:sz w:val="20"/>
              </w:rPr>
              <w:t>default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IAM permissions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Admin in the target account, OR scoped: VPC, EC2, EKS, RDS, ElastiCache, MSK, KMS, SecretsManager, IAM, S3, CloudWatch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Plugin ZIPs</w:t>
            </w:r>
            <w:r>
              <w:rPr>
                <w:rFonts w:ascii="Calibri" w:hAnsi="Calibri"/>
                <w:b w:val="0"/>
                <w:sz w:val="20"/>
              </w:rPr>
              <w:t xml:space="preserve"> *(for MSK Connect)*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Debezium PostgreSQL connector + Confluent JDBC Sink connector — uploaded to S3 before deploying MSK Connect modules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sz w:val="22"/>
        </w:rPr>
        <w:t>Verify locally: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version       # &gt;= 1.10.0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aws --version           # &gt;= 2.x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aws sts get-caller-identity --profile default   # confirm correct account</w:t>
            </w:r>
          </w:p>
        </w:tc>
      </w:tr>
    </w:tbl>
    <w:p>
      <w:pPr>
        <w:spacing w:after="80"/>
      </w:pP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Quick start (any environment)</w:t>
      </w:r>
    </w:p>
    <w:p>
      <w:pPr>
        <w:pBdr>
          <w:bottom w:val="single" w:sz="8" w:space="1" w:color="BFBFBF"/>
        </w:pBdr>
      </w:pPr>
    </w:p>
    <w:p>
      <w:r>
        <w:rPr>
          <w:rFonts w:ascii="Calibri" w:hAnsi="Calibri"/>
          <w:b w:val="0"/>
          <w:sz w:val="22"/>
        </w:rPr>
        <w:t xml:space="preserve">Three commands. The </w:t>
      </w:r>
      <w:r>
        <w:rPr>
          <w:rFonts w:ascii="Consolas" w:hAnsi="Consolas"/>
          <w:color w:val="B11F5A"/>
          <w:sz w:val="21"/>
        </w:rPr>
        <w:t>--env</w:t>
      </w:r>
      <w:r>
        <w:rPr>
          <w:rFonts w:ascii="Calibri" w:hAnsi="Calibri"/>
          <w:b w:val="0"/>
          <w:sz w:val="22"/>
        </w:rPr>
        <w:t xml:space="preserve"> flag picks the environment — everything else is automatic.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cd prod-stack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chmod +x scripts/init.sh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1. Initialize the chosen environment (creates state bucket, runs terraform init)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./scripts/init.sh --env &lt;poc|dev|qas|prod&gt;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2. See what will be created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plan -var-file=envs/&lt;env&gt;.tfvars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3. Deploy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sz w:val="22"/>
        </w:rPr>
        <w:t>Examples: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# Deploy POC in us-west-2 (current production-equivalent environment)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./scripts/init.sh --env poc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-var-file=envs/poc.tfvars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Deploy DEV in us-east-2 (separate VPC, smaller resources)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./scripts/init.sh --env dev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-var-file=envs/dev.tfvars</w:t>
            </w:r>
          </w:p>
        </w:tc>
      </w:tr>
    </w:tbl>
    <w:p>
      <w:pPr>
        <w:spacing w:after="80"/>
      </w:pPr>
    </w:p>
    <w:p>
      <w:pPr>
        <w:spacing w:before="120" w:after="120"/>
        <w:ind w:left="283" w:right="283"/>
        <w:shd w:val="clear" w:color="auto" w:fill="FFF7E0"/>
        <w:pBdr>
          <w:left w:val="single" w:sz="24" w:space="6" w:color="E0A800"/>
        </w:pBdr>
      </w:pPr>
      <w:r>
        <w:rPr>
          <w:rFonts w:ascii="Calibri" w:hAnsi="Calibri"/>
          <w:b w:val="0"/>
          <w:i/>
          <w:sz w:val="22"/>
        </w:rPr>
        <w:t xml:space="preserve">⚠️ </w:t>
      </w:r>
      <w:r>
        <w:rPr>
          <w:rFonts w:ascii="Calibri" w:hAnsi="Calibri"/>
          <w:b/>
          <w:i/>
          <w:sz w:val="22"/>
        </w:rPr>
        <w:t>Always re-run `./scripts/init.sh --env &lt;env&gt;` when switching between environments locally.</w:t>
      </w:r>
      <w:r>
        <w:rPr>
          <w:rFonts w:ascii="Calibri" w:hAnsi="Calibri"/>
          <w:b w:val="0"/>
          <w:i/>
          <w:sz w:val="22"/>
        </w:rPr>
        <w:t xml:space="preserve"> It reconfigures Terraform's backend to point at the correct state file. Skipping this step will operate on the wrong environment's state.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State locking — no DynamoDB</w:t>
      </w:r>
    </w:p>
    <w:p>
      <w:r>
        <w:rPr>
          <w:rFonts w:ascii="Calibri" w:hAnsi="Calibri"/>
          <w:b w:val="0"/>
          <w:sz w:val="22"/>
        </w:rPr>
        <w:t>State locking uses S3's native conditional-write feature (</w:t>
      </w:r>
      <w:r>
        <w:rPr>
          <w:rFonts w:ascii="Consolas" w:hAnsi="Consolas"/>
          <w:color w:val="B11F5A"/>
          <w:sz w:val="21"/>
        </w:rPr>
        <w:t>use_lockfile = true</w:t>
      </w:r>
      <w:r>
        <w:rPr>
          <w:rFonts w:ascii="Calibri" w:hAnsi="Calibri"/>
          <w:b w:val="0"/>
          <w:sz w:val="22"/>
        </w:rPr>
        <w:t xml:space="preserve">). A </w:t>
      </w:r>
      <w:r>
        <w:rPr>
          <w:rFonts w:ascii="Consolas" w:hAnsi="Consolas"/>
          <w:color w:val="B11F5A"/>
          <w:sz w:val="21"/>
        </w:rPr>
        <w:t>.tflock</w:t>
      </w:r>
      <w:r>
        <w:rPr>
          <w:rFonts w:ascii="Calibri" w:hAnsi="Calibri"/>
          <w:b w:val="0"/>
          <w:sz w:val="22"/>
        </w:rPr>
        <w:t xml:space="preserve"> object is written alongside the state file during apply and removed when the apply completes. </w:t>
      </w:r>
      <w:r>
        <w:rPr>
          <w:rFonts w:ascii="Calibri" w:hAnsi="Calibri"/>
          <w:b/>
          <w:sz w:val="22"/>
        </w:rPr>
        <w:t>No DynamoDB table is required.</w:t>
      </w: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Planning a dev deployment (step by step)</w:t>
      </w:r>
    </w:p>
    <w:p>
      <w:pPr>
        <w:pBdr>
          <w:bottom w:val="single" w:sz="8" w:space="1" w:color="BFBFBF"/>
        </w:pBdr>
      </w:pPr>
    </w:p>
    <w:p>
      <w:r>
        <w:rPr>
          <w:rFonts w:ascii="Calibri" w:hAnsi="Calibri"/>
          <w:b w:val="0"/>
          <w:sz w:val="22"/>
        </w:rPr>
        <w:t xml:space="preserve">The DEV environment lives in </w:t>
      </w:r>
      <w:r>
        <w:rPr>
          <w:rFonts w:ascii="Calibri" w:hAnsi="Calibri"/>
          <w:b/>
          <w:sz w:val="22"/>
        </w:rPr>
        <w:t>`us-east-2` (Ohio)</w:t>
      </w:r>
      <w:r>
        <w:rPr>
          <w:rFonts w:ascii="Calibri" w:hAnsi="Calibri"/>
          <w:b w:val="0"/>
          <w:sz w:val="22"/>
        </w:rPr>
        <w:t xml:space="preserve"> in a </w:t>
      </w:r>
      <w:r>
        <w:rPr>
          <w:rFonts w:ascii="Calibri" w:hAnsi="Calibri"/>
          <w:b/>
          <w:sz w:val="22"/>
        </w:rPr>
        <w:t>freshly-created VPC</w:t>
      </w:r>
      <w:r>
        <w:rPr>
          <w:rFonts w:ascii="Calibri" w:hAnsi="Calibri"/>
          <w:b w:val="0"/>
          <w:sz w:val="22"/>
        </w:rPr>
        <w:t xml:space="preserve"> with all core services in </w:t>
      </w:r>
      <w:r>
        <w:rPr>
          <w:rFonts w:ascii="Calibri" w:hAnsi="Calibri"/>
          <w:b/>
          <w:sz w:val="22"/>
        </w:rPr>
        <w:t>private subnets</w:t>
      </w:r>
      <w:r>
        <w:rPr>
          <w:rFonts w:ascii="Calibri" w:hAnsi="Calibri"/>
          <w:b w:val="0"/>
          <w:sz w:val="22"/>
        </w:rPr>
        <w:t xml:space="preserve">. Follow these steps before the first </w:t>
      </w:r>
      <w:r>
        <w:rPr>
          <w:rFonts w:ascii="Consolas" w:hAnsi="Consolas"/>
          <w:color w:val="B11F5A"/>
          <w:sz w:val="21"/>
        </w:rPr>
        <w:t>apply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1 — Verify AWS credentials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aws sts get-caller-identity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Must return Account: 342448511503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 xml:space="preserve">Step 2 — Fill in region-specific values in </w:t>
      </w:r>
      <w:r>
        <w:rPr>
          <w:rFonts w:ascii="Consolas" w:hAnsi="Consolas"/>
          <w:b/>
          <w:color w:val="1F4E79"/>
          <w:sz w:val="32"/>
        </w:rPr>
        <w:t>envs/dev.tfvars</w:t>
      </w:r>
    </w:p>
    <w:p>
      <w:r>
        <w:rPr>
          <w:rFonts w:ascii="Calibri" w:hAnsi="Calibri"/>
          <w:b w:val="0"/>
          <w:sz w:val="22"/>
        </w:rPr>
        <w:t>Two values are region-specific and need to be set before plan: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Variable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Why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How to get it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ec2_ami_id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AMI IDs differ per region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aws ec2 describe-images --owners amazon --region us-east-2 --filters "Name=name,Values=al2023-ami-2023*-x86_64" "Name=state,Values=available" --query "sort_by(Images, &amp;CreationDate)[-1].ImageId" --output text</w:t>
            </w:r>
          </w:p>
        </w:tc>
      </w:tr>
      <w:tr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ec2_key_pair_name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Key pair must exist in us-east-2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aws ec2 create-key-pair --key-name caltech-dev-keypair --region us-east-2 --query KeyMaterial --output text &gt; caltech-dev-keypair.pem &amp;&amp; chmod 400 caltech-dev-keypair.pem</w:t>
            </w:r>
          </w:p>
        </w:tc>
      </w:tr>
    </w:tbl>
    <w:p>
      <w:pPr>
        <w:spacing w:after="80"/>
      </w:pPr>
    </w:p>
    <w:p>
      <w:pPr>
        <w:spacing w:before="120" w:after="120"/>
        <w:ind w:left="283" w:right="283"/>
        <w:shd w:val="clear" w:color="auto" w:fill="FFF7E0"/>
        <w:pBdr>
          <w:left w:val="single" w:sz="24" w:space="6" w:color="E0A800"/>
        </w:pBdr>
      </w:pPr>
      <w:r>
        <w:rPr>
          <w:rFonts w:ascii="Calibri" w:hAnsi="Calibri"/>
          <w:b w:val="0"/>
          <w:i/>
          <w:sz w:val="22"/>
        </w:rPr>
        <w:t xml:space="preserve">Even though dev uses SSM only, AWS still requires </w:t>
      </w:r>
      <w:r>
        <w:rPr>
          <w:rFonts w:ascii="Consolas" w:hAnsi="Consolas"/>
          <w:i/>
          <w:color w:val="B11F5A"/>
          <w:sz w:val="21"/>
        </w:rPr>
        <w:t>key_name</w:t>
      </w:r>
      <w:r>
        <w:rPr>
          <w:rFonts w:ascii="Calibri" w:hAnsi="Calibri"/>
          <w:b w:val="0"/>
          <w:i/>
          <w:sz w:val="22"/>
        </w:rPr>
        <w:t xml:space="preserve"> on the EC2 resource. The key just isn't used for login.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3 — Initialize the dev backend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cd prod-stack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chmod +x scripts/init.sh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./scripts/init.sh --env dev --profile default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sz w:val="22"/>
        </w:rPr>
        <w:t>This: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Creates the S3 state bucket (if missing).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Reconfigures Terraform's backend to point at </w:t>
      </w:r>
      <w:r>
        <w:rPr>
          <w:rFonts w:ascii="Consolas" w:hAnsi="Consolas"/>
          <w:color w:val="B11F5A"/>
          <w:sz w:val="21"/>
        </w:rPr>
        <w:t>caltech/dev/terraform.tfstate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Runs </w:t>
      </w:r>
      <w:r>
        <w:rPr>
          <w:rFonts w:ascii="Consolas" w:hAnsi="Consolas"/>
          <w:color w:val="B11F5A"/>
          <w:sz w:val="21"/>
        </w:rPr>
        <w:t>terraform init -reconfigure</w:t>
      </w:r>
      <w:r>
        <w:rPr>
          <w:rFonts w:ascii="Calibri" w:hAnsi="Calibri"/>
          <w:b w:val="0"/>
          <w:sz w:val="22"/>
        </w:rPr>
        <w:t xml:space="preserve"> and </w:t>
      </w:r>
      <w:r>
        <w:rPr>
          <w:rFonts w:ascii="Consolas" w:hAnsi="Consolas"/>
          <w:color w:val="B11F5A"/>
          <w:sz w:val="21"/>
        </w:rPr>
        <w:t>terraform validate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4 — Generate and review the plan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plan -var-file=envs/dev.tfvars -out=dev.tfplan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sz w:val="22"/>
        </w:rPr>
        <w:t>What to check in the plan output: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Check</w:t>
            </w:r>
          </w:p>
        </w:tc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Expected result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module.vpc[0].aws_vpc.this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Creating new VPC </w:t>
            </w:r>
            <w:r>
              <w:rPr>
                <w:rFonts w:ascii="Consolas" w:hAnsi="Consolas"/>
                <w:color w:val="B11F5A"/>
                <w:sz w:val="20"/>
              </w:rPr>
              <w:t>10.146.0.0/16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module.vpc[0].aws_subnet.public[*]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 public subnets created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module.vpc[0].aws_subnet.private[*]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 private subnets created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module.vpc[0].aws_nat_gateway.this[0]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 NAT Gateway in public subnet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module.ec2.aws_instance.app</w:t>
            </w:r>
            <w:r>
              <w:rPr>
                <w:rFonts w:ascii="Calibri" w:hAnsi="Calibri"/>
                <w:b w:val="0"/>
                <w:sz w:val="20"/>
              </w:rPr>
              <w:t xml:space="preserve"> → </w:t>
            </w:r>
            <w:r>
              <w:rPr>
                <w:rFonts w:ascii="Consolas" w:hAnsi="Consolas"/>
                <w:color w:val="B11F5A"/>
                <w:sz w:val="20"/>
              </w:rPr>
              <w:t>subnet_id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Points to a </w:t>
            </w:r>
            <w:r>
              <w:rPr>
                <w:rFonts w:ascii="Calibri" w:hAnsi="Calibri"/>
                <w:b/>
                <w:sz w:val="20"/>
              </w:rPr>
              <w:t>private</w:t>
            </w:r>
            <w:r>
              <w:rPr>
                <w:rFonts w:ascii="Calibri" w:hAnsi="Calibri"/>
                <w:b w:val="0"/>
                <w:sz w:val="20"/>
              </w:rPr>
              <w:t xml:space="preserve"> subnet (NOT public)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module.ec2_pg_sink.aws_instance.app</w:t>
            </w:r>
            <w:r>
              <w:rPr>
                <w:rFonts w:ascii="Calibri" w:hAnsi="Calibri"/>
                <w:b w:val="0"/>
                <w:sz w:val="20"/>
              </w:rPr>
              <w:t xml:space="preserve"> → </w:t>
            </w:r>
            <w:r>
              <w:rPr>
                <w:rFonts w:ascii="Consolas" w:hAnsi="Consolas"/>
                <w:color w:val="B11F5A"/>
                <w:sz w:val="20"/>
              </w:rPr>
              <w:t>subnet_id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Points to a </w:t>
            </w:r>
            <w:r>
              <w:rPr>
                <w:rFonts w:ascii="Calibri" w:hAnsi="Calibri"/>
                <w:b/>
                <w:sz w:val="20"/>
              </w:rPr>
              <w:t>private</w:t>
            </w:r>
            <w:r>
              <w:rPr>
                <w:rFonts w:ascii="Calibri" w:hAnsi="Calibri"/>
                <w:b w:val="0"/>
                <w:sz w:val="20"/>
              </w:rPr>
              <w:t xml:space="preserve"> subnet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module.ec2_redis_sink.aws_instance.app</w:t>
            </w:r>
            <w:r>
              <w:rPr>
                <w:rFonts w:ascii="Calibri" w:hAnsi="Calibri"/>
                <w:b w:val="0"/>
                <w:sz w:val="20"/>
              </w:rPr>
              <w:t xml:space="preserve"> → </w:t>
            </w:r>
            <w:r>
              <w:rPr>
                <w:rFonts w:ascii="Consolas" w:hAnsi="Consolas"/>
                <w:color w:val="B11F5A"/>
                <w:sz w:val="20"/>
              </w:rPr>
              <w:t>subnet_id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Points to a </w:t>
            </w:r>
            <w:r>
              <w:rPr>
                <w:rFonts w:ascii="Calibri" w:hAnsi="Calibri"/>
                <w:b/>
                <w:sz w:val="20"/>
              </w:rPr>
              <w:t>private</w:t>
            </w:r>
            <w:r>
              <w:rPr>
                <w:rFonts w:ascii="Calibri" w:hAnsi="Calibri"/>
                <w:b w:val="0"/>
                <w:sz w:val="20"/>
              </w:rPr>
              <w:t xml:space="preserve"> subnet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module.vpc_endpoints.aws_vpc_endpoint.ssm[*]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 SSM endpoints in private subnets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module.vpc_endpoints.aws_vpc_endpoint.s3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S3 gateway endpoint attached to </w:t>
            </w:r>
            <w:r>
              <w:rPr>
                <w:rFonts w:ascii="Calibri" w:hAnsi="Calibri"/>
                <w:b/>
                <w:sz w:val="20"/>
              </w:rPr>
              <w:t>both</w:t>
            </w:r>
            <w:r>
              <w:rPr>
                <w:rFonts w:ascii="Calibri" w:hAnsi="Calibri"/>
                <w:b w:val="0"/>
                <w:sz w:val="20"/>
              </w:rPr>
              <w:t xml:space="preserve"> public + private route tables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Resource count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Roughly </w:t>
            </w:r>
            <w:r>
              <w:rPr>
                <w:rFonts w:ascii="Calibri" w:hAnsi="Calibri"/>
                <w:b/>
                <w:sz w:val="20"/>
              </w:rPr>
              <w:t>120–140 resources</w:t>
            </w:r>
            <w:r>
              <w:rPr>
                <w:rFonts w:ascii="Calibri" w:hAnsi="Calibri"/>
                <w:b w:val="0"/>
                <w:sz w:val="20"/>
              </w:rPr>
              <w:t xml:space="preserve"> to add (depends on optional modules)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Destroys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Should be 0</w:t>
            </w:r>
            <w:r>
              <w:rPr>
                <w:rFonts w:ascii="Calibri" w:hAnsi="Calibri"/>
                <w:b w:val="0"/>
                <w:sz w:val="20"/>
              </w:rPr>
              <w:t xml:space="preserve"> on a fresh dev deploy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5 — Save the plan output for review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show -no-color dev.tfplan &gt; dev.plan.txt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sz w:val="22"/>
        </w:rPr>
        <w:t xml:space="preserve">Share </w:t>
      </w:r>
      <w:r>
        <w:rPr>
          <w:rFonts w:ascii="Consolas" w:hAnsi="Consolas"/>
          <w:color w:val="B11F5A"/>
          <w:sz w:val="21"/>
        </w:rPr>
        <w:t>dev.plan.txt</w:t>
      </w:r>
      <w:r>
        <w:rPr>
          <w:rFonts w:ascii="Calibri" w:hAnsi="Calibri"/>
          <w:b w:val="0"/>
          <w:sz w:val="22"/>
        </w:rPr>
        <w:t xml:space="preserve"> with the platform reviewer before applying.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6 — Apply when reviewed</w:t>
      </w:r>
    </w:p>
    <w:p>
      <w:r>
        <w:rPr>
          <w:rFonts w:ascii="Calibri" w:hAnsi="Calibri"/>
          <w:b w:val="0"/>
          <w:sz w:val="22"/>
        </w:rPr>
        <w:t xml:space="preserve">Either deploy in one shot, or phase-by-phase using the targets in </w:t>
      </w:r>
      <w:r>
        <w:rPr>
          <w:rFonts w:ascii="Calibri" w:hAnsi="Calibri"/>
          <w:b w:val="0"/>
          <w:color w:val="1F4E79"/>
          <w:sz w:val="22"/>
          <w:u w:val="single"/>
        </w:rPr>
        <w:t>Detailed deployment</w:t>
      </w:r>
      <w:r>
        <w:rPr>
          <w:rFonts w:ascii="Calibri" w:hAnsi="Calibri"/>
          <w:b w:val="0"/>
          <w:sz w:val="22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apply dev.tfplan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7 — Verify private-only access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# Get the app-server instance ID from outputs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INSTANCE_ID=$(terraform output -raw ec2_instance_id)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Confirm it has NO public IP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aws ec2 describe-instances --instance-ids $INSTANCE_ID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--region us-east-2 --profile default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--query 'Reservations[].Instances[].[PublicIpAddress,PrivateIpAddress,SubnetId]'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--output table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PublicIpAddress should be None / empty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Log in via SSM (no SSH key needed)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aws ssm start-session --target $INSTANCE_ID --region us-east-2 --profile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Inside the session — confirm outbound internet works via NAT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curl -I https://www.amazon.com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Should return HTTP/2 200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8 — Common dev plan diffs to expect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First-time message in the plan</w:t>
            </w:r>
          </w:p>
        </w:tc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+ create</w:t>
            </w:r>
            <w:r>
              <w:rPr>
                <w:rFonts w:ascii="Calibri" w:hAnsi="Calibri"/>
                <w:b w:val="0"/>
                <w:sz w:val="20"/>
              </w:rPr>
              <w:t xml:space="preserve"> against all VPC resources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Fresh VPC — expected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+ create</w:t>
            </w:r>
            <w:r>
              <w:rPr>
                <w:rFonts w:ascii="Calibri" w:hAnsi="Calibri"/>
                <w:b w:val="0"/>
                <w:sz w:val="20"/>
              </w:rPr>
              <w:t xml:space="preserve"> against </w:t>
            </w:r>
            <w:r>
              <w:rPr>
                <w:rFonts w:ascii="Consolas" w:hAnsi="Consolas"/>
                <w:color w:val="B11F5A"/>
                <w:sz w:val="20"/>
              </w:rPr>
              <w:t>aws_vpc_endpoint.ssm["ssm"]</w:t>
            </w:r>
            <w:r>
              <w:rPr>
                <w:rFonts w:ascii="Calibri" w:hAnsi="Calibri"/>
                <w:b w:val="0"/>
                <w:sz w:val="20"/>
              </w:rPr>
              <w:t xml:space="preserve"> etc.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SSM endpoints in private subnets — expected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+ ec2_in_private_subnet = true</w:t>
            </w:r>
            <w:r>
              <w:rPr>
                <w:rFonts w:ascii="Calibri" w:hAnsi="Calibri"/>
                <w:b w:val="0"/>
                <w:sz w:val="20"/>
              </w:rPr>
              <w:t xml:space="preserve"> (in module diff)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The new flag is being honored — expected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sz w:val="22"/>
        </w:rPr>
        <w:t xml:space="preserve">If you instead see </w:t>
      </w:r>
      <w:r>
        <w:rPr>
          <w:rFonts w:ascii="Consolas" w:hAnsi="Consolas"/>
          <w:color w:val="B11F5A"/>
          <w:sz w:val="21"/>
        </w:rPr>
        <w:t>subnet_id = "subnet-…public…"</w:t>
      </w:r>
      <w:r>
        <w:rPr>
          <w:rFonts w:ascii="Calibri" w:hAnsi="Calibri"/>
          <w:b w:val="0"/>
          <w:sz w:val="22"/>
        </w:rPr>
        <w:t xml:space="preserve"> against EC2 — STOP. Confirm </w:t>
      </w:r>
      <w:r>
        <w:rPr>
          <w:rFonts w:ascii="Consolas" w:hAnsi="Consolas"/>
          <w:color w:val="B11F5A"/>
          <w:sz w:val="21"/>
        </w:rPr>
        <w:t>ec2_in_private_subnet = true</w:t>
      </w:r>
      <w:r>
        <w:rPr>
          <w:rFonts w:ascii="Calibri" w:hAnsi="Calibri"/>
          <w:b w:val="0"/>
          <w:sz w:val="22"/>
        </w:rPr>
        <w:t xml:space="preserve"> is set in </w:t>
      </w:r>
      <w:r>
        <w:rPr>
          <w:rFonts w:ascii="Consolas" w:hAnsi="Consolas"/>
          <w:color w:val="B11F5A"/>
          <w:sz w:val="21"/>
        </w:rPr>
        <w:t>envs/dev.tfvars</w:t>
      </w:r>
      <w:r>
        <w:rPr>
          <w:rFonts w:ascii="Calibri" w:hAnsi="Calibri"/>
          <w:b w:val="0"/>
          <w:sz w:val="22"/>
        </w:rPr>
        <w:t>.</w:t>
      </w: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Architecture</w:t>
      </w:r>
    </w:p>
    <w:p>
      <w:pPr>
        <w:pBdr>
          <w:bottom w:val="single" w:sz="8" w:space="1" w:color="BFBFBF"/>
        </w:pBdr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Topology — POC (legacy, EC2 in public subnet)</w:t>
      </w:r>
    </w:p>
    <w:p>
      <w:pPr>
        <w:spacing w:before="120" w:after="120"/>
        <w:ind w:left="283" w:right="283"/>
        <w:shd w:val="clear" w:color="auto" w:fill="FFF7E0"/>
        <w:pBdr>
          <w:left w:val="single" w:sz="24" w:space="6" w:color="E0A800"/>
        </w:pBdr>
      </w:pPr>
      <w:r>
        <w:rPr>
          <w:rFonts w:ascii="Calibri" w:hAnsi="Calibri"/>
          <w:b w:val="0"/>
          <w:i/>
          <w:sz w:val="22"/>
        </w:rPr>
        <w:t xml:space="preserve">DEV and onward follow the </w:t>
      </w:r>
      <w:r>
        <w:rPr>
          <w:rFonts w:ascii="Calibri" w:hAnsi="Calibri"/>
          <w:b/>
          <w:i/>
          <w:sz w:val="22"/>
        </w:rPr>
        <w:t>private-subnet topology</w:t>
      </w:r>
      <w:r>
        <w:rPr>
          <w:rFonts w:ascii="Calibri" w:hAnsi="Calibri"/>
          <w:b w:val="0"/>
          <w:i/>
          <w:sz w:val="22"/>
        </w:rPr>
        <w:t xml:space="preserve"> shown in </w:t>
      </w:r>
      <w:r>
        <w:rPr>
          <w:rFonts w:ascii="Calibri" w:hAnsi="Calibri"/>
          <w:b w:val="0"/>
          <w:i/>
          <w:color w:val="1F4E79"/>
          <w:sz w:val="22"/>
          <w:u w:val="single"/>
        </w:rPr>
        <w:t>Network access modes</w:t>
      </w:r>
      <w:r>
        <w:rPr>
          <w:rFonts w:ascii="Calibri" w:hAnsi="Calibri"/>
          <w:b w:val="0"/>
          <w:i/>
          <w:sz w:val="22"/>
        </w:rPr>
        <w:t xml:space="preserve"> — all EC2 instances live in private subnets, with SSM endpoints and NAT replacing public-subnet placement.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           AWS us-west-2  ·  VPC vpc-0ed44b92f11b73815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                                                     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┌─────────────────────┐   ┌──────────────────────┐   ┌─────────────────────┐   ┌──────────────────────┐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 PUBLIC SUBNET     │   │   PRIVATE SUBNET     │   │   PRIVATE SUBNET    │   │   PRIVATE SUBNET 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                   │   │                      │   │                     │   │                  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┌───────────────┐  │   │ Aurora PostgreSQL    │   │ MSK Connect         │   │ ElastiCache      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│  EC2 × 3      │──┼──▶│ Source (Serverless   │──▶│ Debezium Sources    │──▶│ Redis Serverless 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│  • app        │  │   │  v2, 17.x)           │   │ (×5, one per table) │   │                  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│  • pg_sink    │  │   │                      │   │                     │   ├──────────────────────┤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│  • redis_sink │  │   │                      │   │ ▼                   │   │                  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└───────────────┘  │   │                      │   │ MSK Provisioned     │──▶│ Aurora PostgreSQL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VPC Endpoints      │   │                      │   │ Kafka 3.9.x         │   │ Sink Serverless v2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│  (SSM × 3)          │   │                      │   │ 3 Brokers (3 AZs)   │   │                  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└─────────────────────┘   └──────────────────────┘   │ SASL/SCRAM (9096)   │   └──────────────────────┘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                                    │ + SASL/IAM (9098)   │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│                                                       └─────────────────────┘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Data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Application       CDC Source         Event Streaming        Consumer Targets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──────────        ─────────────      ────────────────       ─────────────────────────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EC2 ──▶  Aurora Source ──▶  Debezium → MSK (Kafka)  ──┬──▶  ElastiCache Redis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(logical repl.)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      ├──▶  Aurora Sink — student_enrollment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      ├──▶  Aurora Sink — student_attendance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      ├──▶  Aurora Sink — student_lms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      ├──▶  Aurora Sink — section_enrollments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                                            └──▶  Aurora Sink — student_term_log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Deployment phases (left to right)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PHASE 1 — Foundation          PHASE 2              PHASE 3              PHASE 4               PHASE 5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─────────────────────────     ──────────────────   ──────────────────   ───────────────────   ─────────────────────────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vpc (optional)                ec2                  aurora_source        msk (Kafka)           elasticache (Redis target)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kms                           ec2_pg_sink     ──▶                  ──▶ msk_connect        ─▶ aurora_sink (PG target)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security_groups               ec2_redis_sink                            (5 source × 1 table)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vpc_endpoints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s3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secrets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iam</w:t>
            </w:r>
          </w:p>
        </w:tc>
      </w:tr>
    </w:tbl>
    <w:p>
      <w:pPr>
        <w:spacing w:after="80"/>
      </w:pP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Detailed deployment — phase by phase</w:t>
      </w:r>
    </w:p>
    <w:p>
      <w:pPr>
        <w:pBdr>
          <w:bottom w:val="single" w:sz="8" w:space="1" w:color="BFBFBF"/>
        </w:pBdr>
      </w:pPr>
    </w:p>
    <w:p>
      <w:pPr>
        <w:spacing w:before="120" w:after="120"/>
        <w:ind w:left="283" w:right="283"/>
        <w:shd w:val="clear" w:color="auto" w:fill="FFF7E0"/>
        <w:pBdr>
          <w:left w:val="single" w:sz="24" w:space="6" w:color="E0A800"/>
        </w:pBdr>
      </w:pPr>
      <w:r>
        <w:rPr>
          <w:rFonts w:ascii="Calibri" w:hAnsi="Calibri"/>
          <w:b w:val="0"/>
          <w:i/>
          <w:sz w:val="22"/>
        </w:rPr>
        <w:t xml:space="preserve">Run each phase, verify success, then move to the next. Use the same </w:t>
      </w:r>
      <w:r>
        <w:rPr>
          <w:rFonts w:ascii="Consolas" w:hAnsi="Consolas"/>
          <w:i/>
          <w:color w:val="B11F5A"/>
          <w:sz w:val="21"/>
        </w:rPr>
        <w:t>--var-file</w:t>
      </w:r>
      <w:r>
        <w:rPr>
          <w:rFonts w:ascii="Calibri" w:hAnsi="Calibri"/>
          <w:b w:val="0"/>
          <w:i/>
          <w:sz w:val="22"/>
        </w:rPr>
        <w:t xml:space="preserve"> for every command in the same environment.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 xml:space="preserve">Phase 0 — VPC (only if </w:t>
      </w:r>
      <w:r>
        <w:rPr>
          <w:rFonts w:ascii="Consolas" w:hAnsi="Consolas"/>
          <w:b/>
          <w:color w:val="1F4E79"/>
          <w:sz w:val="32"/>
        </w:rPr>
        <w:t>create_vpc = true</w:t>
      </w:r>
      <w:r>
        <w:rPr>
          <w:rFonts w:ascii="Calibri" w:hAnsi="Calibri"/>
          <w:b/>
          <w:color w:val="1F4E79"/>
          <w:sz w:val="32"/>
        </w:rPr>
        <w:t>)</w:t>
      </w:r>
    </w:p>
    <w:p>
      <w:r>
        <w:rPr>
          <w:rFonts w:ascii="Calibri" w:hAnsi="Calibri"/>
          <w:b w:val="0"/>
          <w:sz w:val="22"/>
        </w:rPr>
        <w:t>Required for new environments (DEV, future QAS/PROD). Skipped for POC (uses existing VPC).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apply -var-file=envs/dev.tfvars -target=module.vpc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sz w:val="22"/>
        </w:rPr>
        <w:t>Creates:</w:t>
      </w:r>
      <w:r>
        <w:rPr>
          <w:rFonts w:ascii="Calibri" w:hAnsi="Calibri"/>
          <w:b w:val="0"/>
          <w:sz w:val="22"/>
        </w:rPr>
        <w:t xml:space="preserve"> VPC + 3 public + 3 private subnets + IGW + NAT Gateway + route tables.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Phase 1 — Foundation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-target=module.kms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-target=module.security_groups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-target=module.vpc_endpoints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-target=module.s3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-target=module.secrets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-target=module.iam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Phase 2 — App servers (EC2)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apply -var-file=envs/&lt;env&gt;.tfvars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-target=module.ec2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-target=module.ec2_pg_sink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-target=module.ec2_redis_sink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Phase 3 — Source databases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# Serverless v2 source for CDC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-target=module.aurora_source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Phase 4 — Kafka + CDC pipeline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# 1. Deploy MSK cluster (takes 30–40 minutes)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-target=module.msk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2. Upload Debezium plugin ZIP to S3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curl -L -o debezium-connector-postgres-2.5.0.Final-plugin.zip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"https://repo1.maven.org/maven2/io/debezium/debezium-connector-postgres/2.5.0.Final/debezium-connector-postgres-2.5.0.Final-plugin.zip"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aws s3 cp debezium-connector-postgres-2.5.0.Final-plugin.zip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s3://$(terraform output -raw s3_plugins_bucket)/plugins/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3. Deploy all 5 source connectors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-target=module.msk_connect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Phase 5 — Consumer targets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-target=module.elasticache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 -target=module.aurora_sink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Final pass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# Validates full stack consistency, tightens IAM policies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Total deployment time (per environment)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487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Estimated time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 — VPC (if used)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 min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 — Foundation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~7 min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 — App servers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 min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 — Source DB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10–15 min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4 — MSK + Connect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35–50 min</w:t>
            </w:r>
          </w:p>
        </w:tc>
      </w:tr>
      <w:tr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5 — Consumers</w:t>
            </w:r>
          </w:p>
        </w:tc>
        <w:tc>
          <w:tcPr>
            <w:tcW w:type="dxa" w:w="4873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10–20 min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4873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~1.5–2 hours</w:t>
            </w:r>
          </w:p>
        </w:tc>
      </w:tr>
    </w:tbl>
    <w:p>
      <w:pPr>
        <w:spacing w:after="80"/>
      </w:pP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Operations</w:t>
      </w:r>
    </w:p>
    <w:p>
      <w:pPr>
        <w:pBdr>
          <w:bottom w:val="single" w:sz="8" w:space="1" w:color="BFBFBF"/>
        </w:pBdr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Connect to EC2 (no SSH needed — SSM Session Manager)</w:t>
      </w:r>
    </w:p>
    <w:p>
      <w:r>
        <w:rPr>
          <w:rFonts w:ascii="Calibri" w:hAnsi="Calibri"/>
          <w:b w:val="0"/>
          <w:sz w:val="22"/>
        </w:rPr>
        <w:t>Works identically whether EC2 is in public (POC) or private (DEV/QAS/PROD) subnets — SSM uses VPC interface endpoints, never the public internet.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output ec2_instance_id   # get the ID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aws ssm start-session --target &lt;instance-id&gt; --region &lt;region&gt;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Also available: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output ssm_connect_command            # app server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output ssm_connect_command_pg_sink    # PG sink worker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output ssm_connect_command_redis_sink # Redis sink worker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Get database password from Secrets Manager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SECRET_ARN=$(terraform output -raw aurora_source_secret_arn)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aws secretsmanager get-secret-value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--secret-id "$SECRET_ARN"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--region &lt;region&gt; --profile default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--query SecretString --output text | jq -r '.password'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Check MSK Connect connector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aws kafkaconnect list-connectors --region &lt;region&gt; --profile default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--query "connectors[*].{Name:connectorName,State:connectorState}" --output table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List all outputs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terraform output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Switch between environments locally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# Switch to DEV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./scripts/init.sh --env dev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Switch back to POC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./scripts/init.sh --env poc --profile default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sz w:val="22"/>
        </w:rPr>
        <w:t>The init script reconfigures Terraform's backend (</w:t>
      </w:r>
      <w:r>
        <w:rPr>
          <w:rFonts w:ascii="Consolas" w:hAnsi="Consolas"/>
          <w:color w:val="B11F5A"/>
          <w:sz w:val="21"/>
        </w:rPr>
        <w:t>-reconfigure</w:t>
      </w:r>
      <w:r>
        <w:rPr>
          <w:rFonts w:ascii="Calibri" w:hAnsi="Calibri"/>
          <w:b w:val="0"/>
          <w:sz w:val="22"/>
        </w:rPr>
        <w:t xml:space="preserve"> flag) so the next plan/apply targets the correct state file.</w:t>
      </w: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Adding a new environment (QAS / PROD)</w:t>
      </w:r>
    </w:p>
    <w:p>
      <w:pPr>
        <w:pBdr>
          <w:bottom w:val="single" w:sz="8" w:space="1" w:color="BFBFBF"/>
        </w:pBdr>
      </w:pPr>
    </w:p>
    <w:p>
      <w:r>
        <w:rPr>
          <w:rFonts w:ascii="Calibri" w:hAnsi="Calibri"/>
          <w:b w:val="0"/>
          <w:sz w:val="22"/>
        </w:rPr>
        <w:t>The framework already accepts these env names — just create the config files.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1 — Copy DEV config as a starting point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cd prod-stack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cp envs/dev.backend.hcl envs/qas.backend.hcl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cp envs/dev.tfvars      envs/qas.tfvars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2 — Edit the QAS files</w:t>
      </w:r>
    </w:p>
    <w:p>
      <w:r>
        <w:rPr>
          <w:rFonts w:ascii="Calibri" w:hAnsi="Calibri"/>
          <w:b w:val="0"/>
          <w:sz w:val="22"/>
        </w:rPr>
        <w:t xml:space="preserve">In </w:t>
      </w:r>
      <w:r>
        <w:rPr>
          <w:rFonts w:ascii="Consolas" w:hAnsi="Consolas"/>
          <w:color w:val="B11F5A"/>
          <w:sz w:val="21"/>
        </w:rPr>
        <w:t>envs/qas.backend.hcl</w:t>
      </w:r>
      <w:r>
        <w:rPr>
          <w:rFonts w:ascii="Calibri" w:hAnsi="Calibri"/>
          <w:b w:val="0"/>
          <w:sz w:val="22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key = "caltech/qas/terraform.tfstate"    # change from "caltech/dev/..."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sz w:val="22"/>
        </w:rPr>
        <w:t xml:space="preserve">In </w:t>
      </w:r>
      <w:r>
        <w:rPr>
          <w:rFonts w:ascii="Consolas" w:hAnsi="Consolas"/>
          <w:color w:val="B11F5A"/>
          <w:sz w:val="21"/>
        </w:rPr>
        <w:t>envs/qas.tfvars</w:t>
      </w:r>
      <w:r>
        <w:rPr>
          <w:rFonts w:ascii="Calibri" w:hAnsi="Calibri"/>
          <w:b w:val="0"/>
          <w:sz w:val="22"/>
        </w:rPr>
        <w:t>:</w:t>
      </w:r>
    </w:p>
    <w:p>
      <w:pPr>
        <w:pStyle w:val="ListBullet"/>
      </w:pPr>
      <w:r>
        <w:rPr>
          <w:rFonts w:ascii="Consolas" w:hAnsi="Consolas"/>
          <w:color w:val="B11F5A"/>
          <w:sz w:val="21"/>
        </w:rPr>
        <w:t>environment = "qas"</w:t>
      </w:r>
    </w:p>
    <w:p>
      <w:pPr>
        <w:pStyle w:val="ListBullet"/>
      </w:pPr>
      <w:r>
        <w:rPr>
          <w:rFonts w:ascii="Consolas" w:hAnsi="Consolas"/>
          <w:color w:val="B11F5A"/>
          <w:sz w:val="21"/>
        </w:rPr>
        <w:t>aws_region = "&lt;chosen-region&gt;"</w:t>
      </w:r>
    </w:p>
    <w:p>
      <w:pPr>
        <w:pStyle w:val="ListBullet"/>
      </w:pPr>
      <w:r>
        <w:rPr>
          <w:rFonts w:ascii="Consolas" w:hAnsi="Consolas"/>
          <w:color w:val="B11F5A"/>
          <w:sz w:val="21"/>
        </w:rPr>
        <w:t>vpc_cidr = "10.30.0.0/16"</w:t>
      </w:r>
      <w:r>
        <w:rPr>
          <w:rFonts w:ascii="Calibri" w:hAnsi="Calibri"/>
          <w:b w:val="0"/>
          <w:sz w:val="22"/>
        </w:rPr>
        <w:t xml:space="preserve"> (avoid overlap with other envs)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Adjust resource sizing for QAS workload (typically between dev and prod)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Create new EC2 key pair in the QAS region; update </w:t>
      </w:r>
      <w:r>
        <w:rPr>
          <w:rFonts w:ascii="Consolas" w:hAnsi="Consolas"/>
          <w:color w:val="B11F5A"/>
          <w:sz w:val="21"/>
        </w:rPr>
        <w:t>ec2_key_pair_name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Look up region-specific AMI ID; update </w:t>
      </w:r>
      <w:r>
        <w:rPr>
          <w:rFonts w:ascii="Consolas" w:hAnsi="Consolas"/>
          <w:color w:val="B11F5A"/>
          <w:sz w:val="21"/>
        </w:rPr>
        <w:t>ec2_ami_id</w:t>
      </w:r>
    </w:p>
    <w:p>
      <w:pPr>
        <w:pStyle w:val="Heading2"/>
      </w:pPr>
      <w:r>
        <w:rPr>
          <w:rFonts w:ascii="Calibri" w:hAnsi="Calibri"/>
          <w:b/>
          <w:color w:val="1F4E79"/>
          <w:sz w:val="32"/>
        </w:rPr>
        <w:t>Step 3 — Deploy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./scripts/init.sh --env qas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-var-file=envs/qas.tfvars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sz w:val="22"/>
        </w:rPr>
        <w:t>Same procedure for PROD.</w:t>
      </w: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Destroying an environment</w:t>
      </w:r>
    </w:p>
    <w:p>
      <w:pPr>
        <w:pBdr>
          <w:bottom w:val="single" w:sz="8" w:space="1" w:color="BFBFBF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/>
                <w:color w:val="1A1A1A"/>
                <w:sz w:val="19"/>
              </w:rPr>
              <w:t># 1. Switch to the env you want to destroy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./scripts/init.sh --env &lt;env&gt; --profile default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2. Disable deletion protection on Aurora (now enabled in ALL envs, including dev)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   Edit envs/&lt;env&gt;.tfvars: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     aurora_deletion_protection = false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     aurora_skip_final_snapshot = true   # set false to keep a final snapshot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   Then apply the change: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apply -var-file=envs/&lt;env&gt;.tfvars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3. Destroy MSK Connect connectors first (they depend on MSK, Aurora, S3)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destroy -var-file=envs/&lt;env&gt;.tfvars -target=module.msk_connect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# 4. Destroy everything else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1A1A1A"/>
                <w:sz w:val="19"/>
              </w:rPr>
              <w:t>terraform destroy -var-file=envs/&lt;env&gt;.tfvars</w:t>
            </w:r>
          </w:p>
        </w:tc>
      </w:tr>
    </w:tbl>
    <w:p>
      <w:pPr>
        <w:spacing w:after="80"/>
      </w:pPr>
    </w:p>
    <w:p>
      <w:pPr>
        <w:spacing w:before="120" w:after="120"/>
        <w:ind w:left="283" w:right="283"/>
        <w:shd w:val="clear" w:color="auto" w:fill="FFF7E0"/>
        <w:pBdr>
          <w:left w:val="single" w:sz="24" w:space="6" w:color="E0A800"/>
        </w:pBdr>
      </w:pPr>
      <w:r>
        <w:rPr>
          <w:rFonts w:ascii="Calibri" w:hAnsi="Calibri"/>
          <w:b w:val="0"/>
          <w:i/>
          <w:sz w:val="22"/>
        </w:rPr>
        <w:t xml:space="preserve">⚠️ </w:t>
      </w:r>
      <w:r>
        <w:rPr>
          <w:rFonts w:ascii="Calibri" w:hAnsi="Calibri"/>
          <w:b/>
          <w:i/>
          <w:sz w:val="22"/>
        </w:rPr>
        <w:t>Destroying PROD is irreversible.</w:t>
      </w:r>
      <w:r>
        <w:rPr>
          <w:rFonts w:ascii="Calibri" w:hAnsi="Calibri"/>
          <w:b w:val="0"/>
          <w:i/>
          <w:sz w:val="22"/>
        </w:rPr>
        <w:t xml:space="preserve"> Double-check the </w:t>
      </w:r>
      <w:r>
        <w:rPr>
          <w:rFonts w:ascii="Consolas" w:hAnsi="Consolas"/>
          <w:i/>
          <w:color w:val="B11F5A"/>
          <w:sz w:val="21"/>
        </w:rPr>
        <w:t>--env</w:t>
      </w:r>
      <w:r>
        <w:rPr>
          <w:rFonts w:ascii="Calibri" w:hAnsi="Calibri"/>
          <w:b w:val="0"/>
          <w:i/>
          <w:sz w:val="22"/>
        </w:rPr>
        <w:t xml:space="preserve"> flag and the </w:t>
      </w:r>
      <w:r>
        <w:rPr>
          <w:rFonts w:ascii="Consolas" w:hAnsi="Consolas"/>
          <w:i/>
          <w:color w:val="B11F5A"/>
          <w:sz w:val="21"/>
        </w:rPr>
        <w:t>terraform plan</w:t>
      </w:r>
      <w:r>
        <w:rPr>
          <w:rFonts w:ascii="Calibri" w:hAnsi="Calibri"/>
          <w:b w:val="0"/>
          <w:i/>
          <w:sz w:val="22"/>
        </w:rPr>
        <w:t xml:space="preserve"> output before typing </w:t>
      </w:r>
      <w:r>
        <w:rPr>
          <w:rFonts w:ascii="Consolas" w:hAnsi="Consolas"/>
          <w:i/>
          <w:color w:val="B11F5A"/>
          <w:sz w:val="21"/>
        </w:rPr>
        <w:t>yes</w:t>
      </w:r>
      <w:r>
        <w:rPr>
          <w:rFonts w:ascii="Calibri" w:hAnsi="Calibri"/>
          <w:b w:val="0"/>
          <w:i/>
          <w:sz w:val="22"/>
        </w:rPr>
        <w:t>.</w:t>
      </w: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Troubleshooting</w:t>
      </w:r>
    </w:p>
    <w:p>
      <w:pPr>
        <w:pBdr>
          <w:bottom w:val="single" w:sz="8" w:space="1" w:color="BFBFBF"/>
        </w:pBdr>
      </w:pP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Symptom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Cause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terraform init</w:t>
            </w:r>
            <w:r>
              <w:rPr>
                <w:rFonts w:ascii="Calibri" w:hAnsi="Calibri"/>
                <w:b w:val="0"/>
                <w:sz w:val="20"/>
              </w:rPr>
              <w:t xml:space="preserve"> shows backend changed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Switched env without re-running </w:t>
            </w:r>
            <w:r>
              <w:rPr>
                <w:rFonts w:ascii="Consolas" w:hAnsi="Consolas"/>
                <w:color w:val="B11F5A"/>
                <w:sz w:val="20"/>
              </w:rPr>
              <w:t>init.sh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./scripts/init.sh --env &lt;env&gt;</w:t>
            </w:r>
          </w:p>
        </w:tc>
      </w:tr>
      <w:tr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Backend configuration changed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Same as above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Same — init script handles </w:t>
            </w:r>
            <w:r>
              <w:rPr>
                <w:rFonts w:ascii="Consolas" w:hAnsi="Consolas"/>
                <w:color w:val="B11F5A"/>
                <w:sz w:val="20"/>
              </w:rPr>
              <w:t>-reconfigure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Lock Info: ID: ...</w:t>
            </w:r>
            <w:r>
              <w:rPr>
                <w:rFonts w:ascii="Calibri" w:hAnsi="Calibri"/>
                <w:b w:val="0"/>
                <w:sz w:val="20"/>
              </w:rPr>
              <w:t xml:space="preserve"> then hangs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Previous apply crashed, lock file stuck in S3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terraform force-unlock &lt;lock-id&gt;</w:t>
            </w:r>
          </w:p>
        </w:tc>
      </w:tr>
      <w:tr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InsufficientFreeAddressesInSubnet</w:t>
            </w:r>
            <w:r>
              <w:rPr>
                <w:rFonts w:ascii="Calibri" w:hAnsi="Calibri"/>
                <w:b w:val="0"/>
                <w:sz w:val="20"/>
              </w:rPr>
              <w:t xml:space="preserve"> (MSK Connect)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Subnet ran out of IPs for worker ENIs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Update </w:t>
            </w:r>
            <w:r>
              <w:rPr>
                <w:rFonts w:ascii="Consolas" w:hAnsi="Consolas"/>
                <w:color w:val="B11F5A"/>
                <w:sz w:val="20"/>
              </w:rPr>
              <w:t>msk_connect_subnet_ids</w:t>
            </w:r>
            <w:r>
              <w:rPr>
                <w:rFonts w:ascii="Calibri" w:hAnsi="Calibri"/>
                <w:b w:val="0"/>
                <w:sz w:val="20"/>
              </w:rPr>
              <w:t xml:space="preserve"> in tfvars to a subnet with more free IPs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BrokerUnreachable</w:t>
            </w:r>
            <w:r>
              <w:rPr>
                <w:rFonts w:ascii="Calibri" w:hAnsi="Calibri"/>
                <w:b w:val="0"/>
                <w:sz w:val="20"/>
              </w:rPr>
              <w:t xml:space="preserve"> on MSK Connect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MSK SG doesn't allow port 9098 from MSK Connect SG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Re-apply </w:t>
            </w:r>
            <w:r>
              <w:rPr>
                <w:rFonts w:ascii="Consolas" w:hAnsi="Consolas"/>
                <w:color w:val="B11F5A"/>
                <w:sz w:val="20"/>
              </w:rPr>
              <w:t>module.security_groups</w:t>
            </w:r>
          </w:p>
        </w:tc>
      </w:tr>
      <w:tr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Aurora cluster </w:t>
            </w:r>
            <w:r>
              <w:rPr>
                <w:rFonts w:ascii="Consolas" w:hAnsi="Consolas"/>
                <w:color w:val="B11F5A"/>
                <w:sz w:val="20"/>
              </w:rPr>
              <w:t>Backing-up</w:t>
            </w:r>
            <w:r>
              <w:rPr>
                <w:rFonts w:ascii="Calibri" w:hAnsi="Calibri"/>
                <w:b w:val="0"/>
                <w:sz w:val="20"/>
              </w:rPr>
              <w:t xml:space="preserve"> blocks delete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Final snapshot in progress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Wait, then re-run destroy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AccessDenied PutPublicAccessBlock</w:t>
            </w:r>
            <w:r>
              <w:rPr>
                <w:rFonts w:ascii="Calibri" w:hAnsi="Calibri"/>
                <w:b w:val="0"/>
                <w:sz w:val="20"/>
              </w:rPr>
              <w:t xml:space="preserve"> (S3)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Org SCP enforces it at account level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Expected — script warns and continues</w:t>
            </w:r>
          </w:p>
        </w:tc>
      </w:tr>
      <w:tr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B11F5A"/>
                <w:sz w:val="20"/>
              </w:rPr>
              <w:t>BucketAlreadyOwnedByYou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State bucket already exists in your account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Expected — script skips creation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Plan shows resources to destroy you didn't expect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Wrong env active OR variable typo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 xml:space="preserve">Verify </w:t>
            </w:r>
            <w:r>
              <w:rPr>
                <w:rFonts w:ascii="Consolas" w:hAnsi="Consolas"/>
                <w:color w:val="B11F5A"/>
                <w:sz w:val="20"/>
              </w:rPr>
              <w:t>./scripts/init.sh --env &lt;env&gt;</w:t>
            </w:r>
            <w:r>
              <w:rPr>
                <w:rFonts w:ascii="Calibri" w:hAnsi="Calibri"/>
                <w:b w:val="0"/>
                <w:sz w:val="20"/>
              </w:rPr>
              <w:t xml:space="preserve"> output before applying</w:t>
            </w:r>
          </w:p>
        </w:tc>
      </w:tr>
    </w:tbl>
    <w:p>
      <w:pPr>
        <w:spacing w:after="80"/>
      </w:pP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Related documentation</w:t>
      </w:r>
    </w:p>
    <w:p>
      <w:pPr>
        <w:pBdr>
          <w:bottom w:val="single" w:sz="8" w:space="1" w:color="BFBFBF"/>
        </w:pBdr>
      </w:pP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File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Audience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Contents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color w:val="1F4E79"/>
                <w:sz w:val="20"/>
                <w:u w:val="single"/>
              </w:rPr>
              <w:t>README.md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All — start here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This file — deployment guide</w:t>
            </w:r>
          </w:p>
        </w:tc>
      </w:tr>
      <w:tr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color w:val="1F4E79"/>
                <w:sz w:val="20"/>
                <w:u w:val="single"/>
              </w:rPr>
              <w:t>DOCUMENTATION.md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Platform engineers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Full operational reference: module-by-module, security model, runbooks, DR, cost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color w:val="1F4E79"/>
                <w:sz w:val="20"/>
                <w:u w:val="single"/>
              </w:rPr>
              <w:t>`../MSK-CONNECT-CONFIG.md`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 team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Connector configuration Q&amp;A</w:t>
            </w:r>
          </w:p>
        </w:tc>
      </w:tr>
      <w:tr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color w:val="1F4E79"/>
                <w:sz w:val="20"/>
                <w:u w:val="single"/>
              </w:rPr>
              <w:t>`../ARCHITECTURE.md`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All</w:t>
            </w:r>
          </w:p>
        </w:tc>
        <w:tc>
          <w:tcPr>
            <w:tcW w:type="dxa" w:w="3249"/>
            <w:vAlign w:val="top"/>
            <w:shd w:val="clear" w:color="auto" w:fill="F7F9FC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Detailed Mermaid diagrams + network view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color w:val="1F4E79"/>
                <w:sz w:val="20"/>
                <w:u w:val="single"/>
              </w:rPr>
              <w:t>Caltech-POC-Architecture.doc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  <w:tc>
          <w:tcPr>
            <w:tcW w:type="dxa" w:w="3249"/>
            <w:vAlign w:val="top"/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Polished customer-facing architecture document</w:t>
            </w:r>
          </w:p>
        </w:tc>
      </w:tr>
    </w:tbl>
    <w:p>
      <w:pPr>
        <w:spacing w:after="80"/>
      </w:pPr>
    </w:p>
    <w:p>
      <w:pPr>
        <w:pBdr>
          <w:bottom w:val="single" w:sz="8" w:space="1" w:color="BFBFBF"/>
        </w:pBdr>
      </w:pPr>
    </w:p>
    <w:p>
      <w:pPr>
        <w:pStyle w:val="Heading1"/>
      </w:pPr>
      <w:r>
        <w:rPr>
          <w:rFonts w:ascii="Calibri" w:hAnsi="Calibri"/>
          <w:b/>
          <w:color w:val="0B2A4A"/>
          <w:sz w:val="44"/>
        </w:rPr>
        <w:t>Support</w:t>
      </w:r>
    </w:p>
    <w:p>
      <w:pPr>
        <w:pBdr>
          <w:bottom w:val="single" w:sz="8" w:space="1" w:color="BFBFBF"/>
        </w:pBdr>
      </w:pPr>
    </w:p>
    <w:p>
      <w:r>
        <w:rPr>
          <w:rFonts w:ascii="Calibri" w:hAnsi="Calibri"/>
          <w:b w:val="0"/>
          <w:sz w:val="22"/>
        </w:rPr>
        <w:t xml:space="preserve">For deployment issues or questions, contact the </w:t>
      </w:r>
      <w:r>
        <w:rPr>
          <w:rFonts w:ascii="Calibri" w:hAnsi="Calibri"/>
          <w:b/>
          <w:sz w:val="22"/>
        </w:rPr>
        <w:t>Platform Team — panicleTech</w:t>
      </w:r>
      <w:r>
        <w:rPr>
          <w:rFonts w:ascii="Calibri" w:hAnsi="Calibri"/>
          <w:b w:val="0"/>
          <w:sz w:val="22"/>
        </w:rPr>
        <w:t xml:space="preserve"> with: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Environment name (</w:t>
      </w:r>
      <w:r>
        <w:rPr>
          <w:rFonts w:ascii="Consolas" w:hAnsi="Consolas"/>
          <w:color w:val="B11F5A"/>
          <w:sz w:val="21"/>
        </w:rPr>
        <w:t>poc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color w:val="B11F5A"/>
          <w:sz w:val="21"/>
        </w:rPr>
        <w:t>dev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color w:val="B11F5A"/>
          <w:sz w:val="21"/>
        </w:rPr>
        <w:t>qas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color w:val="B11F5A"/>
          <w:sz w:val="21"/>
        </w:rPr>
        <w:t>prod</w:t>
      </w:r>
      <w:r>
        <w:rPr>
          <w:rFonts w:ascii="Calibri" w:hAnsi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The exact </w:t>
      </w:r>
      <w:r>
        <w:rPr>
          <w:rFonts w:ascii="Consolas" w:hAnsi="Consolas"/>
          <w:color w:val="B11F5A"/>
          <w:sz w:val="21"/>
        </w:rPr>
        <w:t>terraform apply</w:t>
      </w:r>
      <w:r>
        <w:rPr>
          <w:rFonts w:ascii="Calibri" w:hAnsi="Calibri"/>
          <w:b w:val="0"/>
          <w:sz w:val="22"/>
        </w:rPr>
        <w:t xml:space="preserve"> command you ran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Full error output from Terraform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55555"/>
        <w:sz w:val="18"/>
      </w:rPr>
      <w:t>Caltech AWS Infrastructure — Terraform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