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final-course-project-report"/>
    <w:p>
      <w:pPr>
        <w:pStyle w:val="Heading1"/>
      </w:pPr>
      <w:r>
        <w:t xml:space="preserve">Final Course Project Report</w:t>
      </w:r>
    </w:p>
    <w:bookmarkStart w:id="20" w:name="cover-page"/>
    <w:p>
      <w:pPr>
        <w:pStyle w:val="Heading2"/>
      </w:pPr>
      <w:r>
        <w:t xml:space="preserve">Cover Page</w:t>
      </w:r>
    </w:p>
    <w:p>
      <w:pPr>
        <w:pStyle w:val="FirstParagraph"/>
      </w:pPr>
      <w:r>
        <w:rPr>
          <w:bCs/>
          <w:b/>
        </w:rPr>
        <w:t xml:space="preserve">Title:</w:t>
      </w:r>
      <w:r>
        <w:t xml:space="preserve"> </w:t>
      </w:r>
      <w:r>
        <w:t xml:space="preserve">Integrated Data Science and Software Engineering Project:</w:t>
      </w:r>
      <w:r>
        <w:t xml:space="preserve"> </w:t>
      </w:r>
      <w:r>
        <w:t xml:space="preserve">National Electricity Grid Network Analysis, GridCare-Lite Development,</w:t>
      </w:r>
      <w:r>
        <w:t xml:space="preserve"> </w:t>
      </w:r>
      <w:r>
        <w:t xml:space="preserve">and ClinicCare-Lite Development</w:t>
      </w:r>
    </w:p>
    <w:p>
      <w:pPr>
        <w:pStyle w:val="BodyText"/>
      </w:pPr>
      <w:r>
        <w:rPr>
          <w:bCs/>
          <w:b/>
        </w:rPr>
        <w:t xml:space="preserve">Course:</w:t>
      </w:r>
      <w:r>
        <w:t xml:space="preserve"> </w:t>
      </w:r>
      <w:r>
        <w:t xml:space="preserve">CS 112 — Computer Programming for CS, Summer 2026</w:t>
      </w:r>
    </w:p>
    <w:p>
      <w:pPr>
        <w:pStyle w:val="BodyText"/>
      </w:pPr>
      <w:r>
        <w:rPr>
          <w:bCs/>
          <w:b/>
        </w:rPr>
        <w:t xml:space="preserve">Group:</w:t>
      </w:r>
      <w:r>
        <w:t xml:space="preserve"> </w:t>
      </w:r>
      <w:r>
        <w:t xml:space="preserve">Final Project 12</w:t>
      </w:r>
    </w:p>
    <w:p>
      <w:pPr>
        <w:pStyle w:val="BodyText"/>
      </w:pPr>
      <w:r>
        <w:rPr>
          <w:bCs/>
          <w:b/>
        </w:rPr>
        <w:t xml:space="preserve">Team Members and Student IDs:</w:t>
      </w:r>
    </w:p>
    <w:p>
      <w:pPr>
        <w:numPr>
          <w:ilvl w:val="0"/>
          <w:numId w:val="1001"/>
        </w:numPr>
        <w:pStyle w:val="Compact"/>
      </w:pPr>
      <w:r>
        <w:t xml:space="preserve">Manyok Gai Chop Deng</w:t>
      </w:r>
    </w:p>
    <w:p>
      <w:pPr>
        <w:numPr>
          <w:ilvl w:val="0"/>
          <w:numId w:val="1001"/>
        </w:numPr>
        <w:pStyle w:val="Compact"/>
      </w:pPr>
      <w:r>
        <w:t xml:space="preserve">Gilford Irvin Adamnor Mensah-Akutteh</w:t>
      </w:r>
    </w:p>
    <w:p>
      <w:pPr>
        <w:numPr>
          <w:ilvl w:val="0"/>
          <w:numId w:val="1001"/>
        </w:numPr>
        <w:pStyle w:val="Compact"/>
      </w:pPr>
      <w:r>
        <w:t xml:space="preserve">Benedict Anorgeyine Atanga</w:t>
      </w:r>
    </w:p>
    <w:p>
      <w:pPr>
        <w:numPr>
          <w:ilvl w:val="0"/>
          <w:numId w:val="1001"/>
        </w:numPr>
        <w:pStyle w:val="Compact"/>
      </w:pPr>
      <w:r>
        <w:t xml:space="preserve">Atiah Roland Shalom</w:t>
      </w:r>
    </w:p>
    <w:p>
      <w:pPr>
        <w:pStyle w:val="FirstParagraph"/>
      </w:pPr>
      <w:r>
        <w:rPr>
          <w:bCs/>
          <w:b/>
        </w:rPr>
        <w:t xml:space="preserve">Department:</w:t>
      </w:r>
      <w:r>
        <w:t xml:space="preserve"> </w:t>
      </w:r>
      <w:r>
        <w:t xml:space="preserve">Computer Science</w:t>
      </w:r>
    </w:p>
    <w:p>
      <w:pPr>
        <w:pStyle w:val="BodyText"/>
      </w:pPr>
      <w:r>
        <w:rPr>
          <w:bCs/>
          <w:b/>
        </w:rPr>
        <w:t xml:space="preserve">Date:</w:t>
      </w:r>
      <w:r>
        <w:t xml:space="preserve"> </w:t>
      </w:r>
      <w:r>
        <w:t xml:space="preserve">August 2026</w:t>
      </w:r>
    </w:p>
    <w:bookmarkEnd w:id="20"/>
    <w:bookmarkStart w:id="25" w:name="introduction"/>
    <w:p>
      <w:pPr>
        <w:pStyle w:val="Heading2"/>
      </w:pPr>
      <w:r>
        <w:t xml:space="preserve">1. Introduction</w:t>
      </w:r>
    </w:p>
    <w:bookmarkStart w:id="21" w:name="background"/>
    <w:p>
      <w:pPr>
        <w:pStyle w:val="Heading3"/>
      </w:pPr>
      <w:r>
        <w:t xml:space="preserve">Background</w:t>
      </w:r>
    </w:p>
    <w:p>
      <w:pPr>
        <w:pStyle w:val="FirstParagraph"/>
      </w:pPr>
      <w:r>
        <w:t xml:space="preserve">Electricity infrastructure and healthcare administration are two of the most important systems in any country. Ghana’s electricity grid, operated by organisations like ECG, NEDCo, GRIDCo, and VRA, connects generation stations to millions of homes and businesses through a network of substations and transmission lines. At the same time, clinics across the country handle large volumes of patient records, task assignments, and communication between clinicians and patients every day.</w:t>
      </w:r>
    </w:p>
    <w:p>
      <w:pPr>
        <w:pStyle w:val="BodyText"/>
      </w:pPr>
      <w:r>
        <w:t xml:space="preserve">Both of these sectors have something in common: they generate a lot of data, and they depend on software to manage it. This project gave us the chance to work on both problems at the same time, using data science to study the grid and software engineering to build tools that could help manage it.</w:t>
      </w:r>
    </w:p>
    <w:bookmarkEnd w:id="21"/>
    <w:bookmarkStart w:id="22" w:name="objective"/>
    <w:p>
      <w:pPr>
        <w:pStyle w:val="Heading3"/>
      </w:pPr>
      <w:r>
        <w:t xml:space="preserve">Objective</w:t>
      </w:r>
    </w:p>
    <w:p>
      <w:pPr>
        <w:pStyle w:val="FirstParagraph"/>
      </w:pPr>
      <w:r>
        <w:t xml:space="preserve">We had three main objectives:</w:t>
      </w:r>
    </w:p>
    <w:p>
      <w:pPr>
        <w:numPr>
          <w:ilvl w:val="0"/>
          <w:numId w:val="1002"/>
        </w:numPr>
      </w:pPr>
      <w:r>
        <w:t xml:space="preserve">Analyse a synthetic Ghana electricity grid dataset to understand the network structure, identify critical substations, and explore how the loss of a single node might affect the rest of the network.</w:t>
      </w:r>
    </w:p>
    <w:p>
      <w:pPr>
        <w:numPr>
          <w:ilvl w:val="0"/>
          <w:numId w:val="1002"/>
        </w:numPr>
      </w:pPr>
      <w:r>
        <w:t xml:space="preserve">Build GridCare-Lite, a desktop application that simulates the kind of outage and maintenance management system a utility company would use internally.</w:t>
      </w:r>
    </w:p>
    <w:p>
      <w:pPr>
        <w:numPr>
          <w:ilvl w:val="0"/>
          <w:numId w:val="1002"/>
        </w:numPr>
      </w:pPr>
      <w:r>
        <w:t xml:space="preserve">Build ClinicCare-Lite, a web application for managing clinic patient administration — health task assignments, file submissions, clinician reviews, messaging, and analytics.</w:t>
      </w:r>
    </w:p>
    <w:bookmarkEnd w:id="22"/>
    <w:bookmarkStart w:id="23" w:name="problem-statement"/>
    <w:p>
      <w:pPr>
        <w:pStyle w:val="Heading3"/>
      </w:pPr>
      <w:r>
        <w:t xml:space="preserve">Problem Statement</w:t>
      </w:r>
    </w:p>
    <w:p>
      <w:pPr>
        <w:pStyle w:val="FirstParagraph"/>
      </w:pPr>
      <w:r>
        <w:t xml:space="preserve">The core question for the data science component was: given a synthetic dataset of Ghana’s electricity substations and transmission lines, can we use graph theory and network analysis to identify which substations are most critical to the network, which lines are single points of failure, and how the network behaves when an important node is removed?</w:t>
      </w:r>
    </w:p>
    <w:p>
      <w:pPr>
        <w:pStyle w:val="BodyText"/>
      </w:pPr>
      <w:r>
        <w:t xml:space="preserve">For the software components, the problem was about building secure, role-based systems that handle real workflows — not just a form that saves data, but a complete cycle from fault reporting through to resolution (GridCare-Lite) and from task assignment through to review and notification (ClinicCare-Lite).</w:t>
      </w:r>
    </w:p>
    <w:bookmarkEnd w:id="23"/>
    <w:bookmarkStart w:id="24" w:name="summary-of-approach"/>
    <w:p>
      <w:pPr>
        <w:pStyle w:val="Heading3"/>
      </w:pPr>
      <w:r>
        <w:t xml:space="preserve">Summary of Approach</w:t>
      </w:r>
    </w:p>
    <w:p>
      <w:pPr>
        <w:pStyle w:val="FirstParagraph"/>
      </w:pPr>
      <w:r>
        <w:t xml:space="preserve">For the data science work, Atiah handled the data generation and cleaning, Gilford led the network analysis and centrality calculations, and Benedict produced all the visualisations. For the two applications, Manyok built both backends and led on security and architecture, while Benedict designed all the front-end templates.</w:t>
      </w:r>
    </w:p>
    <w:p>
      <w:pPr>
        <w:pStyle w:val="BodyText"/>
      </w:pPr>
      <w:r>
        <w:t xml:space="preserve">We worked across four weeks, meeting regularly and reviewing each other’s code. Integration between the three components was a deliberate goal — GridCare-Lite imports substation data directly from the DataScience CSV files, so the two components are linked.</w:t>
      </w:r>
    </w:p>
    <w:bookmarkEnd w:id="24"/>
    <w:bookmarkEnd w:id="25"/>
    <w:bookmarkStart w:id="31" w:name="dataset-overview"/>
    <w:p>
      <w:pPr>
        <w:pStyle w:val="Heading2"/>
      </w:pPr>
      <w:r>
        <w:t xml:space="preserve">2. Dataset Overview</w:t>
      </w:r>
    </w:p>
    <w:bookmarkStart w:id="26" w:name="source"/>
    <w:p>
      <w:pPr>
        <w:pStyle w:val="Heading3"/>
      </w:pPr>
      <w:r>
        <w:t xml:space="preserve">Source</w:t>
      </w:r>
    </w:p>
    <w:p>
      <w:pPr>
        <w:pStyle w:val="FirstParagraph"/>
      </w:pPr>
      <w:r>
        <w:t xml:space="preserve">We used a synthetic dataset generated by generate_grid_data.py, a Python script that uses a fixed random seed (42) so every team member and every run produces identical data. The dataset is grounded in real Ghanaian geography and real utility names — ECG, NEDCo, GRIDCo, VRA — with cross-border connections reflecting the real West African Power Pool (WAPP). The actual coordinates, capacities, and connections are illustrative, not survey data.</w:t>
      </w:r>
    </w:p>
    <w:p>
      <w:pPr>
        <w:pStyle w:val="BodyText"/>
      </w:pPr>
      <w:r>
        <w:t xml:space="preserve">We used a synthetic dataset because real operational grid data at substation level is either commercially sensitive or not published in a structured form.</w:t>
      </w:r>
    </w:p>
    <w:bookmarkEnd w:id="26"/>
    <w:bookmarkStart w:id="27" w:name="three-csv-files"/>
    <w:p>
      <w:pPr>
        <w:pStyle w:val="Heading3"/>
      </w:pPr>
      <w:r>
        <w:t xml:space="preserve">Three CSV Files</w:t>
      </w:r>
    </w:p>
    <w:p>
      <w:pPr>
        <w:pStyle w:val="FirstParagraph"/>
      </w:pPr>
      <w:r>
        <w:rPr>
          <w:bCs/>
          <w:b/>
        </w:rPr>
        <w:t xml:space="preserve">utilities.csv</w:t>
      </w:r>
      <w:r>
        <w:t xml:space="preserve"> </w:t>
      </w:r>
      <w:r>
        <w:t xml:space="preserve">— 10 rows, 7 columns</w:t>
      </w:r>
      <w:r>
        <w:t xml:space="preserve"> </w:t>
      </w:r>
      <w:r>
        <w:t xml:space="preserve">Covers ECG, NEDCo, GRIDCo, VRA, and six cross-border WAPP utilities. Fields: Utility ID, Name, Alias, Code, Type, Country, Active.</w:t>
      </w:r>
    </w:p>
    <w:p>
      <w:pPr>
        <w:pStyle w:val="BodyText"/>
      </w:pPr>
      <w:r>
        <w:rPr>
          <w:bCs/>
          <w:b/>
        </w:rPr>
        <w:t xml:space="preserve">substations.csv</w:t>
      </w:r>
      <w:r>
        <w:t xml:space="preserve"> </w:t>
      </w:r>
      <w:r>
        <w:t xml:space="preserve">— 44 rows, 12 columns</w:t>
      </w:r>
      <w:r>
        <w:t xml:space="preserve"> </w:t>
      </w:r>
      <w:r>
        <w:t xml:space="preserve">Covers substations across 10 Ghanaian regions plus 8 cross-border WAPP nodes. Fields: Substation ID, Name, Short Name, Region, Country, Latitude, Longitude, Voltage (kV), Capacity (MVA), Commissioning Year, Type, Status.</w:t>
      </w:r>
    </w:p>
    <w:p>
      <w:pPr>
        <w:pStyle w:val="BodyText"/>
      </w:pPr>
      <w:r>
        <w:rPr>
          <w:bCs/>
          <w:b/>
        </w:rPr>
        <w:t xml:space="preserve">lines.csv</w:t>
      </w:r>
      <w:r>
        <w:t xml:space="preserve"> </w:t>
      </w:r>
      <w:r>
        <w:t xml:space="preserve">— 55 rows, 11 columns</w:t>
      </w:r>
      <w:r>
        <w:t xml:space="preserve"> </w:t>
      </w:r>
      <w:r>
        <w:t xml:space="preserve">Transmission and distribution lines connecting the substations. Fields: Line ID, Utility ID, Source/Destination Substation IDs and names, Voltage (kV), Length (km), Capacity (MVA), Status, Line Type.</w:t>
      </w:r>
    </w:p>
    <w:bookmarkEnd w:id="27"/>
    <w:bookmarkStart w:id="28" w:name="key-features"/>
    <w:p>
      <w:pPr>
        <w:pStyle w:val="Heading3"/>
      </w:pPr>
      <w:r>
        <w:t xml:space="preserve">Key Features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Range / Values</w:t>
            </w:r>
          </w:p>
        </w:tc>
      </w:tr>
      <w:tr>
        <w:tc>
          <w:tcPr/>
          <w:p>
            <w:pPr>
              <w:pStyle w:val="Compact"/>
              <w:jc w:val="left"/>
            </w:pPr>
            <w:r>
              <w:t xml:space="preserve">Voltage levels</w:t>
            </w:r>
          </w:p>
        </w:tc>
        <w:tc>
          <w:tcPr/>
          <w:p>
            <w:pPr>
              <w:pStyle w:val="Compact"/>
              <w:jc w:val="left"/>
            </w:pPr>
            <w:r>
              <w:t xml:space="preserve">11 kV, 33 kV, 69 kV, 161 kV, 330 kV</w:t>
            </w:r>
          </w:p>
        </w:tc>
      </w:tr>
      <w:tr>
        <w:tc>
          <w:tcPr/>
          <w:p>
            <w:pPr>
              <w:pStyle w:val="Compact"/>
              <w:jc w:val="left"/>
            </w:pPr>
            <w:r>
              <w:t xml:space="preserve">Substation types</w:t>
            </w:r>
          </w:p>
        </w:tc>
        <w:tc>
          <w:tcPr/>
          <w:p>
            <w:pPr>
              <w:pStyle w:val="Compact"/>
              <w:jc w:val="left"/>
            </w:pPr>
            <w:r>
              <w:t xml:space="preserve">Distribution, Bulk Supply Point, Transmission</w:t>
            </w:r>
          </w:p>
        </w:tc>
      </w:tr>
      <w:tr>
        <w:tc>
          <w:tcPr/>
          <w:p>
            <w:pPr>
              <w:pStyle w:val="Compact"/>
              <w:jc w:val="left"/>
            </w:pPr>
            <w:r>
              <w:t xml:space="preserve">Line types</w:t>
            </w:r>
          </w:p>
        </w:tc>
        <w:tc>
          <w:tcPr/>
          <w:p>
            <w:pPr>
              <w:pStyle w:val="Compact"/>
              <w:jc w:val="left"/>
            </w:pPr>
            <w:r>
              <w:t xml:space="preserve">Overhead, Underground</w:t>
            </w:r>
          </w:p>
        </w:tc>
      </w:tr>
      <w:tr>
        <w:tc>
          <w:tcPr/>
          <w:p>
            <w:pPr>
              <w:pStyle w:val="Compact"/>
              <w:jc w:val="left"/>
            </w:pPr>
            <w:r>
              <w:t xml:space="preserve">Substation status</w:t>
            </w:r>
          </w:p>
        </w:tc>
        <w:tc>
          <w:tcPr/>
          <w:p>
            <w:pPr>
              <w:pStyle w:val="Compact"/>
              <w:jc w:val="left"/>
            </w:pPr>
            <w:r>
              <w:t xml:space="preserve">Active (43), Inactive (1)</w:t>
            </w:r>
          </w:p>
        </w:tc>
      </w:tr>
      <w:tr>
        <w:tc>
          <w:tcPr/>
          <w:p>
            <w:pPr>
              <w:pStyle w:val="Compact"/>
              <w:jc w:val="left"/>
            </w:pPr>
            <w:r>
              <w:t xml:space="preserve">Line status</w:t>
            </w:r>
          </w:p>
        </w:tc>
        <w:tc>
          <w:tcPr/>
          <w:p>
            <w:pPr>
              <w:pStyle w:val="Compact"/>
              <w:jc w:val="left"/>
            </w:pPr>
            <w:r>
              <w:t xml:space="preserve">Active (53), Under Maintenance (2)</w:t>
            </w:r>
          </w:p>
        </w:tc>
      </w:tr>
      <w:tr>
        <w:tc>
          <w:tcPr/>
          <w:p>
            <w:pPr>
              <w:pStyle w:val="Compact"/>
              <w:jc w:val="left"/>
            </w:pPr>
            <w:r>
              <w:t xml:space="preserve">Commissioning years</w:t>
            </w:r>
          </w:p>
        </w:tc>
        <w:tc>
          <w:tcPr/>
          <w:p>
            <w:pPr>
              <w:pStyle w:val="Compact"/>
              <w:jc w:val="left"/>
            </w:pPr>
            <w:r>
              <w:t xml:space="preserve">1967 to 2022</w:t>
            </w:r>
          </w:p>
        </w:tc>
      </w:tr>
      <w:tr>
        <w:tc>
          <w:tcPr/>
          <w:p>
            <w:pPr>
              <w:pStyle w:val="Compact"/>
              <w:jc w:val="left"/>
            </w:pPr>
            <w:r>
              <w:t xml:space="preserve">Capacity range</w:t>
            </w:r>
          </w:p>
        </w:tc>
        <w:tc>
          <w:tcPr/>
          <w:p>
            <w:pPr>
              <w:pStyle w:val="Compact"/>
              <w:jc w:val="left"/>
            </w:pPr>
            <w:r>
              <w:t xml:space="preserve">6.4 MVA to 487.6 MVA</w:t>
            </w:r>
          </w:p>
        </w:tc>
      </w:tr>
    </w:tbl>
    <w:bookmarkEnd w:id="28"/>
    <w:bookmarkStart w:id="29" w:name="quality-issues"/>
    <w:p>
      <w:pPr>
        <w:pStyle w:val="Heading3"/>
      </w:pPr>
      <w:r>
        <w:t xml:space="preserve">Quality Issues</w:t>
      </w:r>
    </w:p>
    <w:p>
      <w:pPr>
        <w:pStyle w:val="FirstParagraph"/>
      </w:pPr>
      <w:r>
        <w:t xml:space="preserve">When we ran the cleaning checks, the dataset came back clean — no missing values, no duplicates, no orphaned lines, and no substations with coordinates outside the expected West Africa region. Even so, we treated the checks seriously because in a real grid asset register you would expect all of these problems. The coordinate check had to be adjusted during development: we initially set the longitude lower bound at -3 (western edge of Ghana) but this was too narrow because Guinea and Abidjan are further west. We extended it to -16 to cover all WAPP nodes correctly.</w:t>
      </w:r>
    </w:p>
    <w:bookmarkEnd w:id="29"/>
    <w:bookmarkStart w:id="30" w:name="sample-table"/>
    <w:p>
      <w:pPr>
        <w:pStyle w:val="Heading3"/>
      </w:pPr>
      <w:r>
        <w:t xml:space="preserve">Sample Table</w:t>
      </w:r>
    </w:p>
    <w:tbl>
      <w:tblPr>
        <w:tblStyle w:val="Table"/>
        <w:tblW w:type="pct" w:w="5000"/>
        <w:tblLook w:firstRow="1" w:lastRow="0" w:firstColumn="0" w:lastColumn="0" w:noHBand="0" w:noVBand="0" w:val="0020"/>
        <w:jc w:val="start"/>
      </w:tblPr>
      <w:tblGrid>
        <w:gridCol w:w="1705"/>
        <w:gridCol w:w="731"/>
        <w:gridCol w:w="974"/>
        <w:gridCol w:w="1584"/>
        <w:gridCol w:w="1949"/>
        <w:gridCol w:w="974"/>
      </w:tblGrid>
      <w:tr>
        <w:trPr>
          <w:tblHeader w:val="true"/>
        </w:trPr>
        <w:tc>
          <w:tcPr/>
          <w:p>
            <w:pPr>
              <w:pStyle w:val="Compact"/>
              <w:jc w:val="left"/>
            </w:pPr>
            <w:r>
              <w:t xml:space="preserve">Substation ID</w:t>
            </w:r>
          </w:p>
        </w:tc>
        <w:tc>
          <w:tcPr/>
          <w:p>
            <w:pPr>
              <w:pStyle w:val="Compact"/>
              <w:jc w:val="left"/>
            </w:pPr>
            <w:r>
              <w:t xml:space="preserve">Name</w:t>
            </w:r>
          </w:p>
        </w:tc>
        <w:tc>
          <w:tcPr/>
          <w:p>
            <w:pPr>
              <w:pStyle w:val="Compact"/>
              <w:jc w:val="left"/>
            </w:pPr>
            <w:r>
              <w:t xml:space="preserve">Region</w:t>
            </w:r>
          </w:p>
        </w:tc>
        <w:tc>
          <w:tcPr/>
          <w:p>
            <w:pPr>
              <w:pStyle w:val="Compact"/>
              <w:jc w:val="left"/>
            </w:pPr>
            <w:r>
              <w:t xml:space="preserve">Voltage (kV)</w:t>
            </w:r>
          </w:p>
        </w:tc>
        <w:tc>
          <w:tcPr/>
          <w:p>
            <w:pPr>
              <w:pStyle w:val="Compact"/>
              <w:jc w:val="left"/>
            </w:pPr>
            <w:r>
              <w:t xml:space="preserve">Capacity (MVA)</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Achimota Substation</w:t>
            </w:r>
          </w:p>
        </w:tc>
        <w:tc>
          <w:tcPr/>
          <w:p>
            <w:pPr>
              <w:pStyle w:val="Compact"/>
              <w:jc w:val="left"/>
            </w:pPr>
            <w:r>
              <w:t xml:space="preserve">Greater Accra</w:t>
            </w:r>
          </w:p>
        </w:tc>
        <w:tc>
          <w:tcPr/>
          <w:p>
            <w:pPr>
              <w:pStyle w:val="Compact"/>
              <w:jc w:val="left"/>
            </w:pPr>
            <w:r>
              <w:t xml:space="preserve">11</w:t>
            </w:r>
          </w:p>
        </w:tc>
        <w:tc>
          <w:tcPr/>
          <w:p>
            <w:pPr>
              <w:pStyle w:val="Compact"/>
              <w:jc w:val="left"/>
            </w:pPr>
            <w:r>
              <w:t xml:space="preserve">6.4</w:t>
            </w:r>
          </w:p>
        </w:tc>
        <w:tc>
          <w:tcPr/>
          <w:p>
            <w:pPr>
              <w:pStyle w:val="Compact"/>
              <w:jc w:val="left"/>
            </w:pPr>
            <w:r>
              <w:t xml:space="preserve">Active</w:t>
            </w:r>
          </w:p>
        </w:tc>
      </w:tr>
      <w:tr>
        <w:tc>
          <w:tcPr/>
          <w:p>
            <w:pPr>
              <w:pStyle w:val="Compact"/>
              <w:jc w:val="left"/>
            </w:pPr>
            <w:r>
              <w:t xml:space="preserve">2</w:t>
            </w:r>
          </w:p>
        </w:tc>
        <w:tc>
          <w:tcPr/>
          <w:p>
            <w:pPr>
              <w:pStyle w:val="Compact"/>
              <w:jc w:val="left"/>
            </w:pPr>
            <w:r>
              <w:t xml:space="preserve">Tema Substation</w:t>
            </w:r>
          </w:p>
        </w:tc>
        <w:tc>
          <w:tcPr/>
          <w:p>
            <w:pPr>
              <w:pStyle w:val="Compact"/>
              <w:jc w:val="left"/>
            </w:pPr>
            <w:r>
              <w:t xml:space="preserve">Greater Accra</w:t>
            </w:r>
          </w:p>
        </w:tc>
        <w:tc>
          <w:tcPr/>
          <w:p>
            <w:pPr>
              <w:pStyle w:val="Compact"/>
              <w:jc w:val="left"/>
            </w:pPr>
            <w:r>
              <w:t xml:space="preserve">330</w:t>
            </w:r>
          </w:p>
        </w:tc>
        <w:tc>
          <w:tcPr/>
          <w:p>
            <w:pPr>
              <w:pStyle w:val="Compact"/>
              <w:jc w:val="left"/>
            </w:pPr>
            <w:r>
              <w:t xml:space="preserve">48.5</w:t>
            </w:r>
          </w:p>
        </w:tc>
        <w:tc>
          <w:tcPr/>
          <w:p>
            <w:pPr>
              <w:pStyle w:val="Compact"/>
              <w:jc w:val="left"/>
            </w:pPr>
            <w:r>
              <w:t xml:space="preserve">Active</w:t>
            </w:r>
          </w:p>
        </w:tc>
      </w:tr>
      <w:tr>
        <w:tc>
          <w:tcPr/>
          <w:p>
            <w:pPr>
              <w:pStyle w:val="Compact"/>
              <w:jc w:val="left"/>
            </w:pPr>
            <w:r>
              <w:t xml:space="preserve">3</w:t>
            </w:r>
          </w:p>
        </w:tc>
        <w:tc>
          <w:tcPr/>
          <w:p>
            <w:pPr>
              <w:pStyle w:val="Compact"/>
              <w:jc w:val="left"/>
            </w:pPr>
            <w:r>
              <w:t xml:space="preserve">Mallam Substation</w:t>
            </w:r>
          </w:p>
        </w:tc>
        <w:tc>
          <w:tcPr/>
          <w:p>
            <w:pPr>
              <w:pStyle w:val="Compact"/>
              <w:jc w:val="left"/>
            </w:pPr>
            <w:r>
              <w:t xml:space="preserve">Greater Accra</w:t>
            </w:r>
          </w:p>
        </w:tc>
        <w:tc>
          <w:tcPr/>
          <w:p>
            <w:pPr>
              <w:pStyle w:val="Compact"/>
              <w:jc w:val="left"/>
            </w:pPr>
            <w:r>
              <w:t xml:space="preserve">330</w:t>
            </w:r>
          </w:p>
        </w:tc>
        <w:tc>
          <w:tcPr/>
          <w:p>
            <w:pPr>
              <w:pStyle w:val="Compact"/>
              <w:jc w:val="left"/>
            </w:pPr>
            <w:r>
              <w:t xml:space="preserve">25.2</w:t>
            </w:r>
          </w:p>
        </w:tc>
        <w:tc>
          <w:tcPr/>
          <w:p>
            <w:pPr>
              <w:pStyle w:val="Compact"/>
              <w:jc w:val="left"/>
            </w:pPr>
            <w:r>
              <w:t xml:space="preserve">Active</w:t>
            </w:r>
          </w:p>
        </w:tc>
      </w:tr>
      <w:tr>
        <w:tc>
          <w:tcPr/>
          <w:p>
            <w:pPr>
              <w:pStyle w:val="Compact"/>
              <w:jc w:val="left"/>
            </w:pPr>
            <w:r>
              <w:t xml:space="preserve">13</w:t>
            </w:r>
          </w:p>
        </w:tc>
        <w:tc>
          <w:tcPr/>
          <w:p>
            <w:pPr>
              <w:pStyle w:val="Compact"/>
              <w:jc w:val="left"/>
            </w:pPr>
            <w:r>
              <w:t xml:space="preserve">Kumasi Central Substation</w:t>
            </w:r>
          </w:p>
        </w:tc>
        <w:tc>
          <w:tcPr/>
          <w:p>
            <w:pPr>
              <w:pStyle w:val="Compact"/>
              <w:jc w:val="left"/>
            </w:pPr>
            <w:r>
              <w:t xml:space="preserve">Ashanti</w:t>
            </w:r>
          </w:p>
        </w:tc>
        <w:tc>
          <w:tcPr/>
          <w:p>
            <w:pPr>
              <w:pStyle w:val="Compact"/>
              <w:jc w:val="left"/>
            </w:pPr>
            <w:r>
              <w:t xml:space="preserve">330</w:t>
            </w:r>
          </w:p>
        </w:tc>
        <w:tc>
          <w:tcPr/>
          <w:p>
            <w:pPr>
              <w:pStyle w:val="Compact"/>
              <w:jc w:val="left"/>
            </w:pPr>
            <w:r>
              <w:t xml:space="preserve">354.1</w:t>
            </w:r>
          </w:p>
        </w:tc>
        <w:tc>
          <w:tcPr/>
          <w:p>
            <w:pPr>
              <w:pStyle w:val="Compact"/>
              <w:jc w:val="left"/>
            </w:pPr>
            <w:r>
              <w:t xml:space="preserve">Active</w:t>
            </w:r>
          </w:p>
        </w:tc>
      </w:tr>
      <w:tr>
        <w:tc>
          <w:tcPr/>
          <w:p>
            <w:pPr>
              <w:pStyle w:val="Compact"/>
              <w:jc w:val="left"/>
            </w:pPr>
            <w:r>
              <w:t xml:space="preserve">19</w:t>
            </w:r>
          </w:p>
        </w:tc>
        <w:tc>
          <w:tcPr/>
          <w:p>
            <w:pPr>
              <w:pStyle w:val="Compact"/>
              <w:jc w:val="left"/>
            </w:pPr>
            <w:r>
              <w:t xml:space="preserve">Cape Coast Substation</w:t>
            </w:r>
          </w:p>
        </w:tc>
        <w:tc>
          <w:tcPr/>
          <w:p>
            <w:pPr>
              <w:pStyle w:val="Compact"/>
              <w:jc w:val="left"/>
            </w:pPr>
            <w:r>
              <w:t xml:space="preserve">Central</w:t>
            </w:r>
          </w:p>
        </w:tc>
        <w:tc>
          <w:tcPr/>
          <w:p>
            <w:pPr>
              <w:pStyle w:val="Compact"/>
              <w:jc w:val="left"/>
            </w:pPr>
            <w:r>
              <w:t xml:space="preserve">330</w:t>
            </w:r>
          </w:p>
        </w:tc>
        <w:tc>
          <w:tcPr/>
          <w:p>
            <w:pPr>
              <w:pStyle w:val="Compact"/>
              <w:jc w:val="left"/>
            </w:pPr>
            <w:r>
              <w:t xml:space="preserve">284.7</w:t>
            </w:r>
          </w:p>
        </w:tc>
        <w:tc>
          <w:tcPr/>
          <w:p>
            <w:pPr>
              <w:pStyle w:val="Compact"/>
              <w:jc w:val="left"/>
            </w:pPr>
            <w:r>
              <w:t xml:space="preserve">Active</w:t>
            </w:r>
          </w:p>
        </w:tc>
      </w:tr>
    </w:tbl>
    <w:bookmarkEnd w:id="30"/>
    <w:bookmarkEnd w:id="31"/>
    <w:bookmarkStart w:id="38" w:name="exploratory-data-analysis-eda"/>
    <w:p>
      <w:pPr>
        <w:pStyle w:val="Heading2"/>
      </w:pPr>
      <w:r>
        <w:t xml:space="preserve">3. Exploratory Data Analysis (EDA)</w:t>
      </w:r>
    </w:p>
    <w:bookmarkStart w:id="32" w:name="regional-distribution"/>
    <w:p>
      <w:pPr>
        <w:pStyle w:val="Heading3"/>
      </w:pPr>
      <w:r>
        <w:t xml:space="preserve">Regional Distribution</w:t>
      </w:r>
    </w:p>
    <w:p>
      <w:pPr>
        <w:pStyle w:val="FirstParagraph"/>
      </w:pPr>
      <w:r>
        <w:t xml:space="preserve">Greater Accra has the most substations with 6, followed by Ashanti with 5. Western, Central, Eastern, and Volta each have 4. Upper West has only 1 — the Wa Substation. The cross-border WAPP nodes (Guinea, Burkina Faso, Cote d’Ivoire, Togo, Benin) each contribute one node to the dataset.</w:t>
      </w:r>
    </w:p>
    <w:p>
      <w:pPr>
        <w:pStyle w:val="BodyText"/>
      </w:pPr>
      <w:r>
        <w:t xml:space="preserve">This distribution broadly reflects real population density and industrial activity patterns across Ghana, with Greater Accra and Ashanti being the most urbanised and economically active regions.</w:t>
      </w:r>
    </w:p>
    <w:bookmarkEnd w:id="32"/>
    <w:bookmarkStart w:id="33" w:name="voltage-distribution"/>
    <w:p>
      <w:pPr>
        <w:pStyle w:val="Heading3"/>
      </w:pPr>
      <w:r>
        <w:t xml:space="preserve">Voltage Distribution</w:t>
      </w:r>
    </w:p>
    <w:p>
      <w:pPr>
        <w:pStyle w:val="FirstParagraph"/>
      </w:pPr>
      <w:r>
        <w:t xml:space="preserve">161 kV is the most common voltage level with 11 substations, followed by 330 kV with 10. The distribution reflects the mix of transmission-level infrastructure (161 kV and 330 kV) and distribution-level infrastructure (11 kV and 33 kV). Bulk supply points mostly sit at 69 kV.</w:t>
      </w:r>
    </w:p>
    <w:bookmarkEnd w:id="33"/>
    <w:bookmarkStart w:id="34" w:name="status"/>
    <w:p>
      <w:pPr>
        <w:pStyle w:val="Heading3"/>
      </w:pPr>
      <w:r>
        <w:t xml:space="preserve">Status</w:t>
      </w:r>
    </w:p>
    <w:p>
      <w:pPr>
        <w:pStyle w:val="FirstParagraph"/>
      </w:pPr>
      <w:r>
        <w:t xml:space="preserve">43 out of 44 substations (97.7%) are Active. Only 1 is Inactive. Of the 55 lines, 53 are Active and 2 are Under Maintenance (3.6%). This is a fairly healthy network for a synthetic dataset.</w:t>
      </w:r>
    </w:p>
    <w:bookmarkEnd w:id="34"/>
    <w:bookmarkStart w:id="35" w:name="capacity"/>
    <w:p>
      <w:pPr>
        <w:pStyle w:val="Heading3"/>
      </w:pPr>
      <w:r>
        <w:t xml:space="preserve">Capacity</w:t>
      </w:r>
    </w:p>
    <w:p>
      <w:pPr>
        <w:pStyle w:val="FirstParagraph"/>
      </w:pPr>
      <w:r>
        <w:t xml:space="preserve">Average substation capacity is 157.9 MVA with a wide range from 6.4 MVA (a small distribution substation) to 487.6 MVA (a large transmission node). The distribution is right-skewed — most substations have relatively low capacity but a small number have very high capacity.</w:t>
      </w:r>
    </w:p>
    <w:bookmarkEnd w:id="35"/>
    <w:bookmarkStart w:id="36" w:name="asset-age"/>
    <w:p>
      <w:pPr>
        <w:pStyle w:val="Heading3"/>
      </w:pPr>
      <w:r>
        <w:t xml:space="preserve">Asset Age</w:t>
      </w:r>
    </w:p>
    <w:p>
      <w:pPr>
        <w:pStyle w:val="FirstParagraph"/>
      </w:pPr>
      <w:r>
        <w:t xml:space="preserve">Commissioning years range from 1967 to 2022. The average is 1996, meaning the average substation in this dataset has been running for about 30 years. This has implications for maintenance priority — older assets are generally at higher risk of faults.</w:t>
      </w:r>
    </w:p>
    <w:bookmarkEnd w:id="36"/>
    <w:bookmarkStart w:id="37" w:name="visualisations-produced"/>
    <w:p>
      <w:pPr>
        <w:pStyle w:val="Heading3"/>
      </w:pPr>
      <w:r>
        <w:t xml:space="preserve">Visualisations Produced</w:t>
      </w:r>
    </w:p>
    <w:p>
      <w:pPr>
        <w:pStyle w:val="FirstParagraph"/>
      </w:pPr>
      <w:r>
        <w:t xml:space="preserve">We saved four EDA charts to the outputs/ folder:</w:t>
      </w:r>
    </w:p>
    <w:p>
      <w:pPr>
        <w:numPr>
          <w:ilvl w:val="0"/>
          <w:numId w:val="1003"/>
        </w:numPr>
        <w:pStyle w:val="Compact"/>
      </w:pPr>
      <w:r>
        <w:rPr>
          <w:bCs/>
          <w:b/>
        </w:rPr>
        <w:t xml:space="preserve">eda_substations_per_region.png</w:t>
      </w:r>
      <w:r>
        <w:t xml:space="preserve"> </w:t>
      </w:r>
      <w:r>
        <w:t xml:space="preserve">— bar chart showing Greater Accra leads with 6 substations</w:t>
      </w:r>
    </w:p>
    <w:p>
      <w:pPr>
        <w:numPr>
          <w:ilvl w:val="0"/>
          <w:numId w:val="1003"/>
        </w:numPr>
        <w:pStyle w:val="Compact"/>
      </w:pPr>
      <w:r>
        <w:rPr>
          <w:bCs/>
          <w:b/>
        </w:rPr>
        <w:t xml:space="preserve">eda_voltage_levels.png</w:t>
      </w:r>
      <w:r>
        <w:t xml:space="preserve"> </w:t>
      </w:r>
      <w:r>
        <w:t xml:space="preserve">— bar chart showing 161 kV as the most common level</w:t>
      </w:r>
    </w:p>
    <w:p>
      <w:pPr>
        <w:numPr>
          <w:ilvl w:val="0"/>
          <w:numId w:val="1003"/>
        </w:numPr>
        <w:pStyle w:val="Compact"/>
      </w:pPr>
      <w:r>
        <w:rPr>
          <w:bCs/>
          <w:b/>
        </w:rPr>
        <w:t xml:space="preserve">eda_top_substations.png</w:t>
      </w:r>
      <w:r>
        <w:t xml:space="preserve"> </w:t>
      </w:r>
      <w:r>
        <w:t xml:space="preserve">— top 10 most connected substations by number of lines</w:t>
      </w:r>
    </w:p>
    <w:p>
      <w:pPr>
        <w:numPr>
          <w:ilvl w:val="0"/>
          <w:numId w:val="1003"/>
        </w:numPr>
        <w:pStyle w:val="Compact"/>
      </w:pPr>
      <w:r>
        <w:rPr>
          <w:bCs/>
          <w:b/>
        </w:rPr>
        <w:t xml:space="preserve">eda_commissioning_years.png</w:t>
      </w:r>
      <w:r>
        <w:t xml:space="preserve"> </w:t>
      </w:r>
      <w:r>
        <w:t xml:space="preserve">— histogram showing most assets commissioned between 1980 and 2015</w:t>
      </w:r>
    </w:p>
    <w:p>
      <w:pPr>
        <w:pStyle w:val="FirstParagraph"/>
      </w:pPr>
      <w:r>
        <w:t xml:space="preserve">Benedict produced all four charts. The visualisations answered four of the key EDA questions from the spec: regional distribution, voltage distribution, most-connected substations, and asset age profile.</w:t>
      </w:r>
    </w:p>
    <w:bookmarkEnd w:id="37"/>
    <w:bookmarkEnd w:id="38"/>
    <w:bookmarkStart w:id="47" w:name="modelling-and-implementation"/>
    <w:p>
      <w:pPr>
        <w:pStyle w:val="Heading2"/>
      </w:pPr>
      <w:r>
        <w:t xml:space="preserve">4. Modelling and Implementation</w:t>
      </w:r>
    </w:p>
    <w:bookmarkStart w:id="39" w:name="datascience-pipeline"/>
    <w:p>
      <w:pPr>
        <w:pStyle w:val="Heading3"/>
      </w:pPr>
      <w:r>
        <w:t xml:space="preserve">DataScience Pipeline</w:t>
      </w:r>
    </w:p>
    <w:p>
      <w:pPr>
        <w:pStyle w:val="FirstParagraph"/>
      </w:pPr>
      <w:r>
        <w:t xml:space="preserve">The analysis follows a five-task pipeline in grid_analysis.py:</w:t>
      </w:r>
    </w:p>
    <w:p>
      <w:pPr>
        <w:pStyle w:val="BodyText"/>
      </w:pPr>
      <w:r>
        <w:rPr>
          <w:bCs/>
          <w:b/>
        </w:rPr>
        <w:t xml:space="preserve">Task 1 — Load:</w:t>
      </w:r>
      <w:r>
        <w:t xml:space="preserve"> </w:t>
      </w:r>
      <w:r>
        <w:t xml:space="preserve">Read the three CSV files into Pandas DataFrames using pd.read_csv(). We confirmed shapes and column names before proceeding.</w:t>
      </w:r>
    </w:p>
    <w:p>
      <w:pPr>
        <w:pStyle w:val="BodyText"/>
      </w:pPr>
      <w:r>
        <w:rPr>
          <w:bCs/>
          <w:b/>
        </w:rPr>
        <w:t xml:space="preserve">Task 2 — Clean:</w:t>
      </w:r>
      <w:r>
        <w:t xml:space="preserve"> </w:t>
      </w:r>
      <w:r>
        <w:t xml:space="preserve">Coerced numeric columns using pd.to_numeric(errors=</w:t>
      </w:r>
      <w:r>
        <w:t xml:space="preserve">‘</w:t>
      </w:r>
      <w:r>
        <w:t xml:space="preserve">coerce</w:t>
      </w:r>
      <w:r>
        <w:t xml:space="preserve">’</w:t>
      </w:r>
      <w:r>
        <w:t xml:space="preserve">), removed duplicates, checked for orphaned foreign keys, and validated coordinates. All checks passed for this dataset.</w:t>
      </w:r>
    </w:p>
    <w:p>
      <w:pPr>
        <w:pStyle w:val="BodyText"/>
      </w:pPr>
      <w:r>
        <w:rPr>
          <w:bCs/>
          <w:b/>
        </w:rPr>
        <w:t xml:space="preserve">Task 3 — EDA:</w:t>
      </w:r>
      <w:r>
        <w:t xml:space="preserve"> </w:t>
      </w:r>
      <w:r>
        <w:t xml:space="preserve">Generated descriptive statistics and four charts using Matplotlib.</w:t>
      </w:r>
    </w:p>
    <w:p>
      <w:pPr>
        <w:pStyle w:val="BodyText"/>
      </w:pPr>
      <w:r>
        <w:rPr>
          <w:bCs/>
          <w:b/>
        </w:rPr>
        <w:t xml:space="preserve">Task 4 — Merge:</w:t>
      </w:r>
      <w:r>
        <w:t xml:space="preserve"> </w:t>
      </w:r>
      <w:r>
        <w:t xml:space="preserve">Joined all three tables using Pandas .merge() with left joins to preserve all lines even if substation data was incomplete. Grouped by utility and region to find the top combinations by line count. GRIDCo operating in Greater Accra came out on top with 5 lines.</w:t>
      </w:r>
    </w:p>
    <w:p>
      <w:pPr>
        <w:pStyle w:val="BodyText"/>
      </w:pPr>
      <w:r>
        <w:rPr>
          <w:bCs/>
          <w:b/>
        </w:rPr>
        <w:t xml:space="preserve">Task 5 — Network analysis:</w:t>
      </w:r>
      <w:r>
        <w:t xml:space="preserve"> </w:t>
      </w:r>
      <w:r>
        <w:t xml:space="preserve">Built an undirected NetworkX graph where substations are nodes and lines are edges. Calculated five centrality measures, ran community detection and bridge detection, then performed N-1 contingency tests.</w:t>
      </w:r>
    </w:p>
    <w:bookmarkEnd w:id="39"/>
    <w:bookmarkStart w:id="40" w:name="tools-used"/>
    <w:p>
      <w:pPr>
        <w:pStyle w:val="Heading3"/>
      </w:pPr>
      <w:r>
        <w:t xml:space="preserve">Tools Used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Task</w:t>
            </w:r>
          </w:p>
        </w:tc>
        <w:tc>
          <w:tcPr/>
          <w:p>
            <w:pPr>
              <w:pStyle w:val="Compact"/>
              <w:jc w:val="left"/>
            </w:pPr>
            <w:r>
              <w:t xml:space="preserve">Libraries</w:t>
            </w:r>
          </w:p>
        </w:tc>
      </w:tr>
      <w:tr>
        <w:tc>
          <w:tcPr/>
          <w:p>
            <w:pPr>
              <w:pStyle w:val="Compact"/>
              <w:jc w:val="left"/>
            </w:pPr>
            <w:r>
              <w:t xml:space="preserve">Data loading and cleaning</w:t>
            </w:r>
          </w:p>
        </w:tc>
        <w:tc>
          <w:tcPr/>
          <w:p>
            <w:pPr>
              <w:pStyle w:val="Compact"/>
              <w:jc w:val="left"/>
            </w:pPr>
            <w:r>
              <w:t xml:space="preserve">Pandas, NumPy</w:t>
            </w:r>
          </w:p>
        </w:tc>
      </w:tr>
      <w:tr>
        <w:tc>
          <w:tcPr/>
          <w:p>
            <w:pPr>
              <w:pStyle w:val="Compact"/>
              <w:jc w:val="left"/>
            </w:pPr>
            <w:r>
              <w:t xml:space="preserve">Charts</w:t>
            </w:r>
          </w:p>
        </w:tc>
        <w:tc>
          <w:tcPr/>
          <w:p>
            <w:pPr>
              <w:pStyle w:val="Compact"/>
              <w:jc w:val="left"/>
            </w:pPr>
            <w:r>
              <w:t xml:space="preserve">Matplotlib</w:t>
            </w:r>
          </w:p>
        </w:tc>
      </w:tr>
      <w:tr>
        <w:tc>
          <w:tcPr/>
          <w:p>
            <w:pPr>
              <w:pStyle w:val="Compact"/>
              <w:jc w:val="left"/>
            </w:pPr>
            <w:r>
              <w:t xml:space="preserve">Network analysis</w:t>
            </w:r>
          </w:p>
        </w:tc>
        <w:tc>
          <w:tcPr/>
          <w:p>
            <w:pPr>
              <w:pStyle w:val="Compact"/>
              <w:jc w:val="left"/>
            </w:pPr>
            <w:r>
              <w:t xml:space="preserve">NetworkX</w:t>
            </w:r>
          </w:p>
        </w:tc>
      </w:tr>
      <w:tr>
        <w:tc>
          <w:tcPr/>
          <w:p>
            <w:pPr>
              <w:pStyle w:val="Compact"/>
              <w:jc w:val="left"/>
            </w:pPr>
            <w:r>
              <w:t xml:space="preserve">Interactive maps</w:t>
            </w:r>
          </w:p>
        </w:tc>
        <w:tc>
          <w:tcPr/>
          <w:p>
            <w:pPr>
              <w:pStyle w:val="Compact"/>
              <w:jc w:val="left"/>
            </w:pPr>
            <w:r>
              <w:t xml:space="preserve">Folium, Plotly Express</w:t>
            </w:r>
          </w:p>
        </w:tc>
      </w:tr>
      <w:tr>
        <w:tc>
          <w:tcPr/>
          <w:p>
            <w:pPr>
              <w:pStyle w:val="Compact"/>
              <w:jc w:val="left"/>
            </w:pPr>
            <w:r>
              <w:t xml:space="preserve">Outputs</w:t>
            </w:r>
          </w:p>
        </w:tc>
        <w:tc>
          <w:tcPr/>
          <w:p>
            <w:pPr>
              <w:pStyle w:val="Compact"/>
              <w:jc w:val="left"/>
            </w:pPr>
            <w:r>
              <w:t xml:space="preserve">os, json</w:t>
            </w:r>
          </w:p>
        </w:tc>
      </w:tr>
    </w:tbl>
    <w:bookmarkEnd w:id="40"/>
    <w:bookmarkStart w:id="41" w:name="graph-construction"/>
    <w:p>
      <w:pPr>
        <w:pStyle w:val="Heading3"/>
      </w:pPr>
      <w:r>
        <w:t xml:space="preserve">Graph Construction</w:t>
      </w:r>
    </w:p>
    <w:p>
      <w:pPr>
        <w:pStyle w:val="FirstParagraph"/>
      </w:pPr>
      <w:r>
        <w:t xml:space="preserve">We used an undirected graph because AC power can flow in either direction along a line depending on system conditions. Substations were added as nodes with attributes (region, voltage, capacity, status). Lines were added as edges with attributes (length_km, voltage, status). We mapped full substation names to short names using a dictionary before building the edges, because the lines table uses full names but our node labels use short names.</w:t>
      </w:r>
    </w:p>
    <w:bookmarkEnd w:id="41"/>
    <w:bookmarkStart w:id="42" w:name="centrality-metrics"/>
    <w:p>
      <w:pPr>
        <w:pStyle w:val="Heading3"/>
      </w:pPr>
      <w:r>
        <w:t xml:space="preserve">Centrality Metrics</w:t>
      </w:r>
    </w:p>
    <w:p>
      <w:pPr>
        <w:pStyle w:val="SourceCode"/>
      </w:pPr>
      <w:r>
        <w:rPr>
          <w:rStyle w:val="NormalTok"/>
        </w:rPr>
        <w:t xml:space="preserve">deg </w:t>
      </w:r>
      <w:r>
        <w:rPr>
          <w:rStyle w:val="OperatorTok"/>
        </w:rPr>
        <w:t xml:space="preserve">=</w:t>
      </w:r>
      <w:r>
        <w:rPr>
          <w:rStyle w:val="NormalTok"/>
        </w:rPr>
        <w:t xml:space="preserve"> nx.degree_centrality(G)</w:t>
      </w:r>
      <w:r>
        <w:br/>
      </w:r>
      <w:r>
        <w:rPr>
          <w:rStyle w:val="NormalTok"/>
        </w:rPr>
        <w:t xml:space="preserve">bet </w:t>
      </w:r>
      <w:r>
        <w:rPr>
          <w:rStyle w:val="OperatorTok"/>
        </w:rPr>
        <w:t xml:space="preserve">=</w:t>
      </w:r>
      <w:r>
        <w:rPr>
          <w:rStyle w:val="NormalTok"/>
        </w:rPr>
        <w:t xml:space="preserve"> nx.betweenness_centrality(G)</w:t>
      </w:r>
      <w:r>
        <w:br/>
      </w:r>
      <w:r>
        <w:rPr>
          <w:rStyle w:val="NormalTok"/>
        </w:rPr>
        <w:t xml:space="preserve">clo </w:t>
      </w:r>
      <w:r>
        <w:rPr>
          <w:rStyle w:val="OperatorTok"/>
        </w:rPr>
        <w:t xml:space="preserve">=</w:t>
      </w:r>
      <w:r>
        <w:rPr>
          <w:rStyle w:val="NormalTok"/>
        </w:rPr>
        <w:t xml:space="preserve"> nx.closeness_centrality(G)</w:t>
      </w:r>
      <w:r>
        <w:br/>
      </w:r>
      <w:r>
        <w:rPr>
          <w:rStyle w:val="NormalTok"/>
        </w:rPr>
        <w:t xml:space="preserve">pgr </w:t>
      </w:r>
      <w:r>
        <w:rPr>
          <w:rStyle w:val="OperatorTok"/>
        </w:rPr>
        <w:t xml:space="preserve">=</w:t>
      </w:r>
      <w:r>
        <w:rPr>
          <w:rStyle w:val="NormalTok"/>
        </w:rPr>
        <w:t xml:space="preserve"> nx.pagerank(G, alpha</w:t>
      </w:r>
      <w:r>
        <w:rPr>
          <w:rStyle w:val="OperatorTok"/>
        </w:rPr>
        <w:t xml:space="preserve">=</w:t>
      </w:r>
      <w:r>
        <w:rPr>
          <w:rStyle w:val="FloatTok"/>
        </w:rPr>
        <w:t xml:space="preserve">0.85</w:t>
      </w:r>
      <w:r>
        <w:rPr>
          <w:rStyle w:val="NormalTok"/>
        </w:rPr>
        <w:t xml:space="preserve">)</w:t>
      </w:r>
      <w:r>
        <w:br/>
      </w:r>
      <w:r>
        <w:rPr>
          <w:rStyle w:val="NormalTok"/>
        </w:rPr>
        <w:t xml:space="preserve">clu </w:t>
      </w:r>
      <w:r>
        <w:rPr>
          <w:rStyle w:val="OperatorTok"/>
        </w:rPr>
        <w:t xml:space="preserve">=</w:t>
      </w:r>
      <w:r>
        <w:rPr>
          <w:rStyle w:val="NormalTok"/>
        </w:rPr>
        <w:t xml:space="preserve"> nx.clustering(G)</w:t>
      </w:r>
    </w:p>
    <w:bookmarkEnd w:id="42"/>
    <w:bookmarkStart w:id="43" w:name="community-detection"/>
    <w:p>
      <w:pPr>
        <w:pStyle w:val="Heading3"/>
      </w:pPr>
      <w:r>
        <w:t xml:space="preserve">Community Detection</w:t>
      </w:r>
    </w:p>
    <w:p>
      <w:pPr>
        <w:pStyle w:val="FirstParagraph"/>
      </w:pPr>
      <w:r>
        <w:t xml:space="preserve">We used greedy modularity maximisation from NetworkX’s community module. This algorithm tries to find a partition of nodes that maximises modularity — how much denser connections are within communities compared to between them.</w:t>
      </w:r>
    </w:p>
    <w:p>
      <w:pPr>
        <w:pStyle w:val="SourceCode"/>
      </w:pPr>
      <w:r>
        <w:rPr>
          <w:rStyle w:val="NormalTok"/>
        </w:rPr>
        <w:t xml:space="preserve">communities </w:t>
      </w:r>
      <w:r>
        <w:rPr>
          <w:rStyle w:val="OperatorTok"/>
        </w:rPr>
        <w:t xml:space="preserve">=</w:t>
      </w:r>
      <w:r>
        <w:rPr>
          <w:rStyle w:val="NormalTok"/>
        </w:rPr>
        <w:t xml:space="preserve"> nx.community.greedy_modularity_communities(G)</w:t>
      </w:r>
    </w:p>
    <w:bookmarkEnd w:id="43"/>
    <w:bookmarkStart w:id="44" w:name="n-1-contingency"/>
    <w:p>
      <w:pPr>
        <w:pStyle w:val="Heading3"/>
      </w:pPr>
      <w:r>
        <w:t xml:space="preserve">N-1 Contingency</w:t>
      </w:r>
    </w:p>
    <w:p>
      <w:pPr>
        <w:pStyle w:val="FirstParagraph"/>
      </w:pPr>
      <w:r>
        <w:t xml:space="preserve">We removed each of the two most critical nodes from a copy of the graph and measured how the number of connected components changed:</w:t>
      </w:r>
    </w:p>
    <w:p>
      <w:pPr>
        <w:pStyle w:val="SourceCode"/>
      </w:pPr>
      <w:r>
        <w:rPr>
          <w:rStyle w:val="NormalTok"/>
        </w:rPr>
        <w:t xml:space="preserve">Gt </w:t>
      </w:r>
      <w:r>
        <w:rPr>
          <w:rStyle w:val="OperatorTok"/>
        </w:rPr>
        <w:t xml:space="preserve">=</w:t>
      </w:r>
      <w:r>
        <w:rPr>
          <w:rStyle w:val="NormalTok"/>
        </w:rPr>
        <w:t xml:space="preserve"> G.copy()</w:t>
      </w:r>
      <w:r>
        <w:br/>
      </w:r>
      <w:r>
        <w:rPr>
          <w:rStyle w:val="NormalTok"/>
        </w:rPr>
        <w:t xml:space="preserve">Gt.remove_node(top_hub)</w:t>
      </w:r>
      <w:r>
        <w:br/>
      </w:r>
      <w:r>
        <w:rPr>
          <w:rStyle w:val="NormalTok"/>
        </w:rPr>
        <w:t xml:space="preserve">after </w:t>
      </w:r>
      <w:r>
        <w:rPr>
          <w:rStyle w:val="OperatorTok"/>
        </w:rPr>
        <w:t xml:space="preserve">=</w:t>
      </w:r>
      <w:r>
        <w:rPr>
          <w:rStyle w:val="NormalTok"/>
        </w:rPr>
        <w:t xml:space="preserve"> nx.number_connected_components(Gt)</w:t>
      </w:r>
    </w:p>
    <w:bookmarkEnd w:id="44"/>
    <w:bookmarkStart w:id="45" w:name="gridcare-lite-implementation"/>
    <w:p>
      <w:pPr>
        <w:pStyle w:val="Heading3"/>
      </w:pPr>
      <w:r>
        <w:t xml:space="preserve">GridCare-Lite Implementation</w:t>
      </w:r>
    </w:p>
    <w:p>
      <w:pPr>
        <w:pStyle w:val="FirstParagraph"/>
      </w:pPr>
      <w:r>
        <w:t xml:space="preserve">Manyok built a two-layer architecture: a Tkinter GUI layer and a SQLite database layer. The database has five tables (users, substations, outages, work_orders, complaints) with foreign key constraints enforced using PRAGMA foreign_keys = ON. Passwords are hashed with bcrypt. The app imports substations.csv on startup so outages can only be logged against real substations.</w:t>
      </w:r>
    </w:p>
    <w:bookmarkEnd w:id="45"/>
    <w:bookmarkStart w:id="46" w:name="cliniccare-lite-implementation"/>
    <w:p>
      <w:pPr>
        <w:pStyle w:val="Heading3"/>
      </w:pPr>
      <w:r>
        <w:t xml:space="preserve">ClinicCare-Lite Implementation</w:t>
      </w:r>
    </w:p>
    <w:p>
      <w:pPr>
        <w:pStyle w:val="FirstParagraph"/>
      </w:pPr>
      <w:r>
        <w:t xml:space="preserve">Manyok built the Flask backend. Routes are protected with require_login(role=…) which aborts with 403 if the wrong role tries to access a route. Data is stored in JSON files with a threading lock to prevent corruption. Files uploaded by patients are stored in submissions/</w:t>
      </w:r>
      <w:r>
        <w:t xml:space="preserve">/ subfolders. Benedict designed and built all the HTML templates and CSS, including the split-panel login design and the responsive dashboard layouts.</w:t>
      </w:r>
    </w:p>
    <w:bookmarkEnd w:id="46"/>
    <w:bookmarkEnd w:id="47"/>
    <w:bookmarkStart w:id="57" w:name="results-and-evaluation"/>
    <w:p>
      <w:pPr>
        <w:pStyle w:val="Heading2"/>
      </w:pPr>
      <w:r>
        <w:t xml:space="preserve">5. Results and Evaluation</w:t>
      </w:r>
    </w:p>
    <w:bookmarkStart w:id="48" w:name="network-structure"/>
    <w:p>
      <w:pPr>
        <w:pStyle w:val="Heading3"/>
      </w:pPr>
      <w:r>
        <w:t xml:space="preserve">Network Structure</w:t>
      </w:r>
    </w:p>
    <w:p>
      <w:pPr>
        <w:pStyle w:val="FirstParagraph"/>
      </w:pPr>
      <w:r>
        <w:t xml:space="preserve">The graph has 44 nodes and 55 edges. It is not fully connected — it has 3 connected components. The two isolated components are small: the main Ghana network (42 nodes) plus two small isolated WAPP sub-networks (Conakry and a small Togo/Benin cluster).</w:t>
      </w:r>
    </w:p>
    <w:bookmarkEnd w:id="48"/>
    <w:bookmarkStart w:id="49" w:name="centrality-results"/>
    <w:p>
      <w:pPr>
        <w:pStyle w:val="Heading3"/>
      </w:pPr>
      <w:r>
        <w:t xml:space="preserve">Centrality Results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Top Substation</w:t>
            </w:r>
          </w:p>
        </w:tc>
        <w:tc>
          <w:tcPr/>
          <w:p>
            <w:pPr>
              <w:pStyle w:val="Compact"/>
              <w:jc w:val="left"/>
            </w:pPr>
            <w:r>
              <w:t xml:space="preserve">Score</w:t>
            </w:r>
          </w:p>
        </w:tc>
      </w:tr>
      <w:tr>
        <w:tc>
          <w:tcPr/>
          <w:p>
            <w:pPr>
              <w:pStyle w:val="Compact"/>
              <w:jc w:val="left"/>
            </w:pPr>
            <w:r>
              <w:t xml:space="preserve">Degree centrality</w:t>
            </w:r>
          </w:p>
        </w:tc>
        <w:tc>
          <w:tcPr/>
          <w:p>
            <w:pPr>
              <w:pStyle w:val="Compact"/>
              <w:jc w:val="left"/>
            </w:pPr>
            <w:r>
              <w:t xml:space="preserve">Mallam</w:t>
            </w:r>
          </w:p>
        </w:tc>
        <w:tc>
          <w:tcPr/>
          <w:p>
            <w:pPr>
              <w:pStyle w:val="Compact"/>
              <w:jc w:val="left"/>
            </w:pPr>
            <w:r>
              <w:t xml:space="preserve">0.1163</w:t>
            </w:r>
          </w:p>
        </w:tc>
      </w:tr>
      <w:tr>
        <w:tc>
          <w:tcPr/>
          <w:p>
            <w:pPr>
              <w:pStyle w:val="Compact"/>
              <w:jc w:val="left"/>
            </w:pPr>
            <w:r>
              <w:t xml:space="preserve">Betweenness centrality</w:t>
            </w:r>
          </w:p>
        </w:tc>
        <w:tc>
          <w:tcPr/>
          <w:p>
            <w:pPr>
              <w:pStyle w:val="Compact"/>
              <w:jc w:val="left"/>
            </w:pPr>
            <w:r>
              <w:t xml:space="preserve">Cape Coast</w:t>
            </w:r>
          </w:p>
        </w:tc>
        <w:tc>
          <w:tcPr/>
          <w:p>
            <w:pPr>
              <w:pStyle w:val="Compact"/>
              <w:jc w:val="left"/>
            </w:pPr>
            <w:r>
              <w:t xml:space="preserve">0.5255</w:t>
            </w:r>
          </w:p>
        </w:tc>
      </w:tr>
      <w:tr>
        <w:tc>
          <w:tcPr/>
          <w:p>
            <w:pPr>
              <w:pStyle w:val="Compact"/>
              <w:jc w:val="left"/>
            </w:pPr>
            <w:r>
              <w:t xml:space="preserve">Closeness centrality</w:t>
            </w:r>
          </w:p>
        </w:tc>
        <w:tc>
          <w:tcPr/>
          <w:p>
            <w:pPr>
              <w:pStyle w:val="Compact"/>
              <w:jc w:val="left"/>
            </w:pPr>
            <w:r>
              <w:t xml:space="preserve">Cape Coast</w:t>
            </w:r>
          </w:p>
        </w:tc>
        <w:tc>
          <w:tcPr/>
          <w:p>
            <w:pPr>
              <w:pStyle w:val="Compact"/>
              <w:jc w:val="left"/>
            </w:pPr>
            <w:r>
              <w:t xml:space="preserve">0.2641</w:t>
            </w:r>
          </w:p>
        </w:tc>
      </w:tr>
      <w:tr>
        <w:tc>
          <w:tcPr/>
          <w:p>
            <w:pPr>
              <w:pStyle w:val="Compact"/>
              <w:jc w:val="left"/>
            </w:pPr>
            <w:r>
              <w:t xml:space="preserve">PageRank</w:t>
            </w:r>
          </w:p>
        </w:tc>
        <w:tc>
          <w:tcPr/>
          <w:p>
            <w:pPr>
              <w:pStyle w:val="Compact"/>
              <w:jc w:val="left"/>
            </w:pPr>
            <w:r>
              <w:t xml:space="preserve">Bolgatanga</w:t>
            </w:r>
          </w:p>
        </w:tc>
        <w:tc>
          <w:tcPr/>
          <w:p>
            <w:pPr>
              <w:pStyle w:val="Compact"/>
              <w:jc w:val="left"/>
            </w:pPr>
            <w:r>
              <w:t xml:space="preserve">0.0470</w:t>
            </w:r>
          </w:p>
        </w:tc>
      </w:tr>
    </w:tbl>
    <w:p>
      <w:pPr>
        <w:pStyle w:val="BodyText"/>
      </w:pPr>
      <w:r>
        <w:t xml:space="preserve">Mallam has the most direct connections (degree), but Cape Coast has by far the highest betweenness — it sits on the shortest path between many pairs of nodes, acting as a corridor between the southern coastal belt and the northern regions. Bolgatanga’s high PageRank comes from its role as the main connection point to the cross-border WAPP nodes in Burkina Faso.</w:t>
      </w:r>
    </w:p>
    <w:bookmarkEnd w:id="49"/>
    <w:bookmarkStart w:id="50" w:name="average-clustering-coefficient-0.3667"/>
    <w:p>
      <w:pPr>
        <w:pStyle w:val="Heading3"/>
      </w:pPr>
      <w:r>
        <w:t xml:space="preserve">Average clustering coefficient: 0.3667</w:t>
      </w:r>
    </w:p>
    <w:p>
      <w:pPr>
        <w:pStyle w:val="FirstParagraph"/>
      </w:pPr>
      <w:r>
        <w:t xml:space="preserve">This means that on average, about 37% of a substation’s neighbours are also directly connected to each other. The network has moderate local clustering — some regions are well-meshed internally, while inter-regional connections tend to be single backbone lines.</w:t>
      </w:r>
    </w:p>
    <w:bookmarkEnd w:id="50"/>
    <w:bookmarkStart w:id="51" w:name="path-analysis-largest-component-42-nodes"/>
    <w:p>
      <w:pPr>
        <w:pStyle w:val="Heading3"/>
      </w:pPr>
      <w:r>
        <w:t xml:space="preserve">Path Analysis (largest component, 42 nodes)</w:t>
      </w:r>
    </w:p>
    <w:p>
      <w:pPr>
        <w:numPr>
          <w:ilvl w:val="0"/>
          <w:numId w:val="1004"/>
        </w:numPr>
        <w:pStyle w:val="Compact"/>
      </w:pPr>
      <w:r>
        <w:t xml:space="preserve">Diameter: 14 (the longest shortest path)</w:t>
      </w:r>
    </w:p>
    <w:p>
      <w:pPr>
        <w:numPr>
          <w:ilvl w:val="0"/>
          <w:numId w:val="1004"/>
        </w:numPr>
        <w:pStyle w:val="Compact"/>
      </w:pPr>
      <w:r>
        <w:t xml:space="preserve">Average path length: 5.409 hops</w:t>
      </w:r>
    </w:p>
    <w:p>
      <w:pPr>
        <w:pStyle w:val="FirstParagraph"/>
      </w:pPr>
      <w:r>
        <w:t xml:space="preserve">A diameter of 14 is quite large relative to the network size, suggesting the network is relatively linear in some parts rather than well-meshed. The average of 5.4 hops to get between any two substations is manageable for a national grid of this scale.</w:t>
      </w:r>
    </w:p>
    <w:bookmarkEnd w:id="51"/>
    <w:bookmarkStart w:id="52" w:name="communities"/>
    <w:p>
      <w:pPr>
        <w:pStyle w:val="Heading3"/>
      </w:pPr>
      <w:r>
        <w:t xml:space="preserve">Communities</w:t>
      </w:r>
    </w:p>
    <w:p>
      <w:pPr>
        <w:pStyle w:val="FirstParagraph"/>
      </w:pPr>
      <w:r>
        <w:t xml:space="preserve">10 communities were detected. These roughly correspond to geographic regions — Greater Accra and surrounding areas form one community, the Western Region substations form another, and so on. Community 1 (10 nodes) included the northern Ghana substations plus the Burkina Faso cross-border connections, which makes geographic sense.</w:t>
      </w:r>
    </w:p>
    <w:bookmarkEnd w:id="52"/>
    <w:bookmarkStart w:id="53" w:name="bridge-lines"/>
    <w:p>
      <w:pPr>
        <w:pStyle w:val="Heading3"/>
      </w:pPr>
      <w:r>
        <w:t xml:space="preserve">Bridge Lines</w:t>
      </w:r>
    </w:p>
    <w:p>
      <w:pPr>
        <w:pStyle w:val="FirstParagraph"/>
      </w:pPr>
      <w:r>
        <w:t xml:space="preserve">21 bridge lines were found. A bridge line is one whose removal would disconnect the graph. This is a high number relative to the total of 55 lines (38%). It indicates the network has significant structural vulnerability — many connections are single points of failure with no alternative path. The lines connecting Cape Coast to Koforidua, Takoradi to Cape Coast, and Kumasi Central to Elubo Border Station are among the most critical.</w:t>
      </w:r>
    </w:p>
    <w:bookmarkEnd w:id="53"/>
    <w:bookmarkStart w:id="54" w:name="n-1-contingency-results"/>
    <w:p>
      <w:pPr>
        <w:pStyle w:val="Heading3"/>
      </w:pPr>
      <w:r>
        <w:t xml:space="preserve">N-1 Contingency Results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Node Removed</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Result</w:t>
            </w:r>
          </w:p>
        </w:tc>
      </w:tr>
      <w:tr>
        <w:tc>
          <w:tcPr/>
          <w:p>
            <w:pPr>
              <w:pStyle w:val="Compact"/>
              <w:jc w:val="left"/>
            </w:pPr>
            <w:r>
              <w:t xml:space="preserve">Mallam (highest degree)</w:t>
            </w:r>
          </w:p>
        </w:tc>
        <w:tc>
          <w:tcPr/>
          <w:p>
            <w:pPr>
              <w:pStyle w:val="Compact"/>
              <w:jc w:val="left"/>
            </w:pPr>
            <w:r>
              <w:t xml:space="preserve">3</w:t>
            </w:r>
          </w:p>
        </w:tc>
        <w:tc>
          <w:tcPr/>
          <w:p>
            <w:pPr>
              <w:pStyle w:val="Compact"/>
              <w:jc w:val="left"/>
            </w:pPr>
            <w:r>
              <w:t xml:space="preserve">3</w:t>
            </w:r>
          </w:p>
        </w:tc>
        <w:tc>
          <w:tcPr/>
          <w:p>
            <w:pPr>
              <w:pStyle w:val="Compact"/>
              <w:jc w:val="left"/>
            </w:pPr>
            <w:r>
              <w:t xml:space="preserve">No fragmentation</w:t>
            </w:r>
          </w:p>
        </w:tc>
      </w:tr>
      <w:tr>
        <w:tc>
          <w:tcPr/>
          <w:p>
            <w:pPr>
              <w:pStyle w:val="Compact"/>
              <w:jc w:val="left"/>
            </w:pPr>
            <w:r>
              <w:t xml:space="preserve">Cape Coast (highest betweenness)</w:t>
            </w:r>
          </w:p>
        </w:tc>
        <w:tc>
          <w:tcPr/>
          <w:p>
            <w:pPr>
              <w:pStyle w:val="Compact"/>
              <w:jc w:val="left"/>
            </w:pPr>
            <w:r>
              <w:t xml:space="preserve">3</w:t>
            </w:r>
          </w:p>
        </w:tc>
        <w:tc>
          <w:tcPr/>
          <w:p>
            <w:pPr>
              <w:pStyle w:val="Compact"/>
              <w:jc w:val="left"/>
            </w:pPr>
            <w:r>
              <w:t xml:space="preserve">5</w:t>
            </w:r>
          </w:p>
        </w:tc>
        <w:tc>
          <w:tcPr/>
          <w:p>
            <w:pPr>
              <w:pStyle w:val="Compact"/>
              <w:jc w:val="left"/>
            </w:pPr>
            <w:r>
              <w:t xml:space="preserve">Network splits</w:t>
            </w:r>
          </w:p>
        </w:tc>
      </w:tr>
    </w:tbl>
    <w:p>
      <w:pPr>
        <w:pStyle w:val="BodyText"/>
      </w:pPr>
      <w:r>
        <w:t xml:space="preserve">Removing Mallam did not change the number of components, suggesting good local redundancy around that node. Removing Cape Coast increased components from 3 to 5 — the network splits into additional isolated fragments. This is consistent with Cape Coast’s extreme betweenness score of 0.5255, meaning it is on more than half of all shortest paths in the network. This is a significant structural resilience concern.</w:t>
      </w:r>
    </w:p>
    <w:bookmarkEnd w:id="54"/>
    <w:bookmarkStart w:id="55" w:name="gridcare-lite-test-results"/>
    <w:p>
      <w:pPr>
        <w:pStyle w:val="Heading3"/>
      </w:pPr>
      <w:r>
        <w:t xml:space="preserve">GridCare-Lite — Test Results</w:t>
      </w:r>
    </w:p>
    <w:p>
      <w:pPr>
        <w:pStyle w:val="FirstParagraph"/>
      </w:pPr>
      <w:r>
        <w:t xml:space="preserve">All 16 manual test cases passed. The full outage-to-resolution workflow runs correctly: engineer logs outage → admin assigns work order → technician completes job → outage resolved automatically. The custom dialog system replaced the default macOS system messagebox, keeping all interactions inside the application window.</w:t>
      </w:r>
    </w:p>
    <w:bookmarkEnd w:id="55"/>
    <w:bookmarkStart w:id="56" w:name="cliniccare-lite-test-results"/>
    <w:p>
      <w:pPr>
        <w:pStyle w:val="Heading3"/>
      </w:pPr>
      <w:r>
        <w:t xml:space="preserve">ClinicCare-Lite — Test Results</w:t>
      </w:r>
    </w:p>
    <w:p>
      <w:pPr>
        <w:pStyle w:val="FirstParagraph"/>
      </w:pPr>
      <w:r>
        <w:t xml:space="preserve">All 20 automated tests passed. This includes the full end-to-end workflow test, all security boundary tests (role protection, patient file isolation, unauthenticated access), and all validation tests for IDs, passwords, and file types.</w:t>
      </w:r>
    </w:p>
    <w:bookmarkEnd w:id="56"/>
    <w:bookmarkEnd w:id="57"/>
    <w:bookmarkStart w:id="61" w:name="discussion-and-challenges"/>
    <w:p>
      <w:pPr>
        <w:pStyle w:val="Heading2"/>
      </w:pPr>
      <w:r>
        <w:t xml:space="preserve">6. Discussion and Challenges</w:t>
      </w:r>
    </w:p>
    <w:bookmarkStart w:id="58" w:name="what-worked-well"/>
    <w:p>
      <w:pPr>
        <w:pStyle w:val="Heading3"/>
      </w:pPr>
      <w:r>
        <w:t xml:space="preserve">What worked well</w:t>
      </w:r>
    </w:p>
    <w:p>
      <w:pPr>
        <w:pStyle w:val="FirstParagraph"/>
      </w:pPr>
      <w:r>
        <w:t xml:space="preserve">The integration between the DataScience component and GridCare-Lite worked cleanly once we fixed the relative path issue. Being able to pick a real substation from a dropdown in the app — knowing it came directly from the same CSV we analysed — made the demo feel much more connected and realistic.</w:t>
      </w:r>
    </w:p>
    <w:p>
      <w:pPr>
        <w:pStyle w:val="BodyText"/>
      </w:pPr>
      <w:r>
        <w:t xml:space="preserve">The ClinicCare-Lite test suite gave us a lot of confidence. Once we had 20 passing tests it was easy to make changes without worrying about breaking something. The test that checks patient file isolation (test_patient_cannot_access_another_patients_file) was particularly important — privacy protection is a core requirement for a healthcare system.</w:t>
      </w:r>
    </w:p>
    <w:p>
      <w:pPr>
        <w:pStyle w:val="BodyText"/>
      </w:pPr>
      <w:r>
        <w:t xml:space="preserve">The custom dialog class in GridCare-Lite was a good improvement over the default messagebox. It looks much more professional and stays inside the application window rather than floating on the desktop.</w:t>
      </w:r>
    </w:p>
    <w:bookmarkEnd w:id="58"/>
    <w:bookmarkStart w:id="59" w:name="what-didnt-work"/>
    <w:p>
      <w:pPr>
        <w:pStyle w:val="Heading3"/>
      </w:pPr>
      <w:r>
        <w:t xml:space="preserve">What didn’t work</w:t>
      </w:r>
    </w:p>
    <w:p>
      <w:pPr>
        <w:pStyle w:val="FirstParagraph"/>
      </w:pPr>
      <w:r>
        <w:t xml:space="preserve">The graph not being fully connected was unexpected at first. We assumed the generator would produce one connected network, but two WAPP cross-border nodes (Conakry and a small Togo/Benin cluster) turned out to have no connections back into the main Ghana network. This caused nx.diameter() to crash until Gilford fixed it by extracting the largest connected component.</w:t>
      </w:r>
    </w:p>
    <w:p>
      <w:pPr>
        <w:pStyle w:val="BodyText"/>
      </w:pPr>
      <w:r>
        <w:t xml:space="preserve">The port conflict on macOS was annoying. ClinicCare-Lite uses port 5000 but macOS AirPlay Receiver also uses port 5000 by default, so the server refused to start on our machines. We documented the fix in the installation guide.</w:t>
      </w:r>
    </w:p>
    <w:bookmarkEnd w:id="59"/>
    <w:bookmarkStart w:id="60" w:name="lessons-learned"/>
    <w:p>
      <w:pPr>
        <w:pStyle w:val="Heading3"/>
      </w:pPr>
      <w:r>
        <w:t xml:space="preserve">Lessons learned</w:t>
      </w:r>
    </w:p>
    <w:p>
      <w:pPr>
        <w:pStyle w:val="FirstParagraph"/>
      </w:pPr>
      <w:r>
        <w:t xml:space="preserve">Gilford: I underestimated how different betweenness centrality and degree centrality can be. Mallam has the most connections but Cape Coast is far more critical to network flow. That distinction is what makes betweenness useful — a node can be important not because it has many connections but because it connects different parts of the network that have few other routes between them.</w:t>
      </w:r>
    </w:p>
    <w:p>
      <w:pPr>
        <w:pStyle w:val="BodyText"/>
      </w:pPr>
      <w:r>
        <w:t xml:space="preserve">Atiah: The coordinate validation check taught me to think more carefully about geographic bounds. Ghana’s borders are not the right bounds when your dataset includes cross-border WAPP nodes. You have to think about the full extent of what you are modelling, not just the primary country.</w:t>
      </w:r>
    </w:p>
    <w:p>
      <w:pPr>
        <w:pStyle w:val="BodyText"/>
      </w:pPr>
      <w:r>
        <w:t xml:space="preserve">Benedict: Getting the CSS split-panel layout to work correctly took longer than I expected. Flexbox is powerful but the interaction between flex-grow, min-height, and overflow on nested elements is not always intuitive. Testing on different screen sizes also revealed that what looks fine on a large monitor can break completely on a smaller one.</w:t>
      </w:r>
    </w:p>
    <w:p>
      <w:pPr>
        <w:pStyle w:val="BodyText"/>
      </w:pPr>
      <w:r>
        <w:t xml:space="preserve">Manyok: The hardest lesson was around task ID generation. Using UUIDs for task IDs was the natural approach, but it broke the test suite which expected the first task to have ID</w:t>
      </w:r>
      <w:r>
        <w:t xml:space="preserve"> </w:t>
      </w:r>
      <w:r>
        <w:t xml:space="preserve">“</w:t>
      </w:r>
      <w:r>
        <w:t xml:space="preserve">1</w:t>
      </w:r>
      <w:r>
        <w:t xml:space="preserve">”</w:t>
      </w:r>
      <w:r>
        <w:t xml:space="preserve">. This is a good example of why you need to read the test suite before making design decisions, not after.</w:t>
      </w:r>
    </w:p>
    <w:bookmarkEnd w:id="60"/>
    <w:bookmarkEnd w:id="61"/>
    <w:bookmarkStart w:id="65" w:name="conclusion-and-recommendations"/>
    <w:p>
      <w:pPr>
        <w:pStyle w:val="Heading2"/>
      </w:pPr>
      <w:r>
        <w:t xml:space="preserve">7. Conclusion and Recommendations</w:t>
      </w:r>
    </w:p>
    <w:bookmarkStart w:id="62" w:name="summary"/>
    <w:p>
      <w:pPr>
        <w:pStyle w:val="Heading3"/>
      </w:pPr>
      <w:r>
        <w:t xml:space="preserve">Summary</w:t>
      </w:r>
    </w:p>
    <w:p>
      <w:pPr>
        <w:pStyle w:val="FirstParagraph"/>
      </w:pPr>
      <w:r>
        <w:t xml:space="preserve">We successfully built all three components of the project. The DataScience analysis revealed that Cape Coast is the most structurally critical substation in the synthetic network — removing it fragments the network significantly. The N-1 contingency result is a clear structural finding that would warrant further investigation if this were real data.</w:t>
      </w:r>
    </w:p>
    <w:p>
      <w:pPr>
        <w:pStyle w:val="BodyText"/>
      </w:pPr>
      <w:r>
        <w:t xml:space="preserve">GridCare-Lite delivers a complete outage-to-resolution workflow with four role-based dashboards, proper authentication, and a direct link to the DataScience substations. ClinicCare-Lite delivers secure patient administration with bcrypt authentication, role-based route protection, file upload with type and size validation, clinician review workflow, messaging, announcements, and an analytics dashboard.</w:t>
      </w:r>
    </w:p>
    <w:bookmarkEnd w:id="62"/>
    <w:bookmarkStart w:id="63" w:name="real-world-relevance"/>
    <w:p>
      <w:pPr>
        <w:pStyle w:val="Heading3"/>
      </w:pPr>
      <w:r>
        <w:t xml:space="preserve">Real-world relevance</w:t>
      </w:r>
    </w:p>
    <w:p>
      <w:pPr>
        <w:pStyle w:val="FirstParagraph"/>
      </w:pPr>
      <w:r>
        <w:t xml:space="preserve">For a real utility like GRIDCo or ECG, the finding that 21 out of 55 lines are bridges — single points of failure — would be a serious reliability concern. A grid with that proportion of critical lines is not well-redundant. The real recommendation would be to prioritise adding parallel routes to the most critical corridors, especially around Cape Coast given its betweenness score.</w:t>
      </w:r>
    </w:p>
    <w:p>
      <w:pPr>
        <w:pStyle w:val="BodyText"/>
      </w:pPr>
      <w:r>
        <w:t xml:space="preserve">For a real clinic, the most important design choice in ClinicCare-Lite was enforcing the non-diagnostic boundary from the start. Healthcare software that interprets patient data without clinical oversight creates real risk. Building the system around administrative workflows — task assignment, submission tracking, triage labels — keeps it useful without creating that risk.</w:t>
      </w:r>
    </w:p>
    <w:bookmarkEnd w:id="63"/>
    <w:bookmarkStart w:id="64" w:name="future-suggestions"/>
    <w:p>
      <w:pPr>
        <w:pStyle w:val="Heading3"/>
      </w:pPr>
      <w:r>
        <w:t xml:space="preserve">Future suggestions</w:t>
      </w:r>
    </w:p>
    <w:p>
      <w:pPr>
        <w:numPr>
          <w:ilvl w:val="0"/>
          <w:numId w:val="1005"/>
        </w:numPr>
      </w:pPr>
      <w:r>
        <w:rPr>
          <w:bCs/>
          <w:b/>
        </w:rPr>
        <w:t xml:space="preserve">DataScience:</w:t>
      </w:r>
      <w:r>
        <w:t xml:space="preserve"> </w:t>
      </w:r>
      <w:r>
        <w:t xml:space="preserve">Add time-series analysis if historical outage data were available. Map substation centrality scores back to the GridCare-Lite report to highlight structurally important substations in the dashboard.</w:t>
      </w:r>
    </w:p>
    <w:p>
      <w:pPr>
        <w:numPr>
          <w:ilvl w:val="0"/>
          <w:numId w:val="1005"/>
        </w:numPr>
      </w:pPr>
      <w:r>
        <w:rPr>
          <w:bCs/>
          <w:b/>
        </w:rPr>
        <w:t xml:space="preserve">GridCare-Lite:</w:t>
      </w:r>
      <w:r>
        <w:t xml:space="preserve"> </w:t>
      </w:r>
      <w:r>
        <w:t xml:space="preserve">Add embedded Matplotlib charts inside the Tkinter window to show outage trends directly. Add a role for line inspector. Move to a shared database server for multi-user deployment.</w:t>
      </w:r>
    </w:p>
    <w:p>
      <w:pPr>
        <w:numPr>
          <w:ilvl w:val="0"/>
          <w:numId w:val="1005"/>
        </w:numPr>
      </w:pPr>
      <w:r>
        <w:rPr>
          <w:bCs/>
          <w:b/>
        </w:rPr>
        <w:t xml:space="preserve">ClinicCare-Lite:</w:t>
      </w:r>
      <w:r>
        <w:t xml:space="preserve"> </w:t>
      </w:r>
      <w:r>
        <w:t xml:space="preserve">Migrate from JSON files to SQLite for better concurrent access. Add appointment scheduling. Add real-time messaging with WebSockets. Add a role for clinic administrator separate from clinician.</w:t>
      </w:r>
    </w:p>
    <w:bookmarkEnd w:id="64"/>
    <w:bookmarkEnd w:id="65"/>
    <w:bookmarkStart w:id="66" w:name="references"/>
    <w:p>
      <w:pPr>
        <w:pStyle w:val="Heading2"/>
      </w:pPr>
      <w:r>
        <w:t xml:space="preserve">8. References</w:t>
      </w:r>
    </w:p>
    <w:p>
      <w:pPr>
        <w:pStyle w:val="FirstParagraph"/>
      </w:pPr>
      <w:r>
        <w:rPr>
          <w:bCs/>
          <w:b/>
        </w:rPr>
        <w:t xml:space="preserve">Datasets:</w:t>
      </w:r>
    </w:p>
    <w:p>
      <w:pPr>
        <w:numPr>
          <w:ilvl w:val="0"/>
          <w:numId w:val="1006"/>
        </w:numPr>
        <w:pStyle w:val="Compact"/>
      </w:pPr>
      <w:r>
        <w:t xml:space="preserve">Synthetic dataset generated by generate_grid_data.py with random.seed(42). Grounded in Ghanaian geography using real utility names (ECG, NEDCo, GRIDCo, VRA) and WAPP cross-border nodes. All values are illustrative, not official measurements.</w:t>
      </w:r>
    </w:p>
    <w:p>
      <w:pPr>
        <w:pStyle w:val="FirstParagraph"/>
      </w:pPr>
      <w:r>
        <w:rPr>
          <w:bCs/>
          <w:b/>
        </w:rPr>
        <w:t xml:space="preserve">Python libraries:</w:t>
      </w:r>
    </w:p>
    <w:p>
      <w:pPr>
        <w:numPr>
          <w:ilvl w:val="0"/>
          <w:numId w:val="1007"/>
        </w:numPr>
        <w:pStyle w:val="Compact"/>
      </w:pPr>
      <w:r>
        <w:t xml:space="preserve">Pandas documentation: https://pandas.pydata.org/docs/</w:t>
      </w:r>
    </w:p>
    <w:p>
      <w:pPr>
        <w:numPr>
          <w:ilvl w:val="0"/>
          <w:numId w:val="1007"/>
        </w:numPr>
        <w:pStyle w:val="Compact"/>
      </w:pPr>
      <w:r>
        <w:t xml:space="preserve">NetworkX documentation: https://networkx.org/documentation/stable/</w:t>
      </w:r>
    </w:p>
    <w:p>
      <w:pPr>
        <w:numPr>
          <w:ilvl w:val="0"/>
          <w:numId w:val="1007"/>
        </w:numPr>
        <w:pStyle w:val="Compact"/>
      </w:pPr>
      <w:r>
        <w:t xml:space="preserve">Flask documentation: https://flask.palletsprojects.com/</w:t>
      </w:r>
    </w:p>
    <w:p>
      <w:pPr>
        <w:numPr>
          <w:ilvl w:val="0"/>
          <w:numId w:val="1007"/>
        </w:numPr>
        <w:pStyle w:val="Compact"/>
      </w:pPr>
      <w:r>
        <w:t xml:space="preserve">Folium documentation: https://python-visualization.github.io/folium/</w:t>
      </w:r>
    </w:p>
    <w:p>
      <w:pPr>
        <w:numPr>
          <w:ilvl w:val="0"/>
          <w:numId w:val="1007"/>
        </w:numPr>
        <w:pStyle w:val="Compact"/>
      </w:pPr>
      <w:r>
        <w:t xml:space="preserve">Plotly documentation: https://plotly.com/python/</w:t>
      </w:r>
    </w:p>
    <w:p>
      <w:pPr>
        <w:numPr>
          <w:ilvl w:val="0"/>
          <w:numId w:val="1007"/>
        </w:numPr>
        <w:pStyle w:val="Compact"/>
      </w:pPr>
      <w:r>
        <w:t xml:space="preserve">bcrypt: https://pypi.org/project/bcrypt/</w:t>
      </w:r>
    </w:p>
    <w:p>
      <w:pPr>
        <w:pStyle w:val="FirstParagraph"/>
      </w:pPr>
      <w:r>
        <w:rPr>
          <w:bCs/>
          <w:b/>
        </w:rPr>
        <w:t xml:space="preserve">Course materials:</w:t>
      </w:r>
    </w:p>
    <w:p>
      <w:pPr>
        <w:numPr>
          <w:ilvl w:val="0"/>
          <w:numId w:val="1008"/>
        </w:numPr>
        <w:pStyle w:val="Compact"/>
      </w:pPr>
      <w:r>
        <w:t xml:space="preserve">CS 112 Computer Programming for CS Final Course Project, Summer 2026</w:t>
      </w:r>
    </w:p>
    <w:p>
      <w:pPr>
        <w:numPr>
          <w:ilvl w:val="0"/>
          <w:numId w:val="1008"/>
        </w:numPr>
        <w:pStyle w:val="Compact"/>
      </w:pPr>
      <w:r>
        <w:t xml:space="preserve">Project specification document provided by course lecturer</w:t>
      </w:r>
    </w:p>
    <w:p>
      <w:pPr>
        <w:pStyle w:val="FirstParagraph"/>
      </w:pPr>
      <w:r>
        <w:rPr>
          <w:bCs/>
          <w:b/>
        </w:rPr>
        <w:t xml:space="preserve">Tkinter:</w:t>
      </w:r>
    </w:p>
    <w:p>
      <w:pPr>
        <w:numPr>
          <w:ilvl w:val="0"/>
          <w:numId w:val="1009"/>
        </w:numPr>
        <w:pStyle w:val="Compact"/>
      </w:pPr>
      <w:r>
        <w:t xml:space="preserve">Python Standard Library documentation: https://docs.python.org/3/library/tkinter.html</w:t>
      </w:r>
    </w:p>
    <w:bookmarkEnd w:id="66"/>
    <w:bookmarkStart w:id="72" w:name="appendix"/>
    <w:p>
      <w:pPr>
        <w:pStyle w:val="Heading2"/>
      </w:pPr>
      <w:r>
        <w:t xml:space="preserve">9. Appendix</w:t>
      </w:r>
    </w:p>
    <w:bookmarkStart w:id="67" w:name="X80ce6b5549ebfb74c8a4e0a134ad49da6172b42"/>
    <w:p>
      <w:pPr>
        <w:pStyle w:val="Heading3"/>
      </w:pPr>
      <w:r>
        <w:t xml:space="preserve">A. Output Files Generated by grid_analysis.py</w:t>
      </w:r>
    </w:p>
    <w:tbl>
      <w:tblPr>
        <w:tblStyle w:val="Table"/>
        <w:tblW w:type="pct" w:w="5000"/>
        <w:tblLook w:firstRow="1" w:lastRow="0" w:firstColumn="0" w:lastColumn="0" w:noHBand="0" w:noVBand="0" w:val="0020"/>
        <w:jc w:val="start"/>
      </w:tblPr>
      <w:tblGrid>
        <w:gridCol w:w="2501"/>
        <w:gridCol w:w="5418"/>
      </w:tblGrid>
      <w:tr>
        <w:trPr>
          <w:tblHeader w:val="true"/>
        </w:trPr>
        <w:tc>
          <w:tcPr/>
          <w:p>
            <w:pPr>
              <w:pStyle w:val="Compact"/>
              <w:jc w:val="left"/>
            </w:pPr>
            <w:r>
              <w:t xml:space="preserve">File</w:t>
            </w:r>
          </w:p>
        </w:tc>
        <w:tc>
          <w:tcPr/>
          <w:p>
            <w:pPr>
              <w:pStyle w:val="Compact"/>
              <w:jc w:val="left"/>
            </w:pPr>
            <w:r>
              <w:t xml:space="preserve">Description</w:t>
            </w:r>
          </w:p>
        </w:tc>
      </w:tr>
      <w:tr>
        <w:tc>
          <w:tcPr/>
          <w:p>
            <w:pPr>
              <w:pStyle w:val="Compact"/>
              <w:jc w:val="left"/>
            </w:pPr>
            <w:r>
              <w:t xml:space="preserve">outputs/eda_substations_per_region.png</w:t>
            </w:r>
          </w:p>
        </w:tc>
        <w:tc>
          <w:tcPr/>
          <w:p>
            <w:pPr>
              <w:pStyle w:val="Compact"/>
              <w:jc w:val="left"/>
            </w:pPr>
            <w:r>
              <w:t xml:space="preserve">Bar chart — substations per region</w:t>
            </w:r>
          </w:p>
        </w:tc>
      </w:tr>
      <w:tr>
        <w:tc>
          <w:tcPr/>
          <w:p>
            <w:pPr>
              <w:pStyle w:val="Compact"/>
              <w:jc w:val="left"/>
            </w:pPr>
            <w:r>
              <w:t xml:space="preserve">outputs/eda_voltage_levels.png</w:t>
            </w:r>
          </w:p>
        </w:tc>
        <w:tc>
          <w:tcPr/>
          <w:p>
            <w:pPr>
              <w:pStyle w:val="Compact"/>
              <w:jc w:val="left"/>
            </w:pPr>
            <w:r>
              <w:t xml:space="preserve">Bar chart — voltage level distribution</w:t>
            </w:r>
          </w:p>
        </w:tc>
      </w:tr>
      <w:tr>
        <w:tc>
          <w:tcPr/>
          <w:p>
            <w:pPr>
              <w:pStyle w:val="Compact"/>
              <w:jc w:val="left"/>
            </w:pPr>
            <w:r>
              <w:t xml:space="preserve">outputs/eda_top_substations.png</w:t>
            </w:r>
          </w:p>
        </w:tc>
        <w:tc>
          <w:tcPr/>
          <w:p>
            <w:pPr>
              <w:pStyle w:val="Compact"/>
              <w:jc w:val="left"/>
            </w:pPr>
            <w:r>
              <w:t xml:space="preserve">Bar chart — top 10 most connected substations</w:t>
            </w:r>
          </w:p>
        </w:tc>
      </w:tr>
      <w:tr>
        <w:tc>
          <w:tcPr/>
          <w:p>
            <w:pPr>
              <w:pStyle w:val="Compact"/>
              <w:jc w:val="left"/>
            </w:pPr>
            <w:r>
              <w:t xml:space="preserve">outputs/eda_commissioning_years.png</w:t>
            </w:r>
          </w:p>
        </w:tc>
        <w:tc>
          <w:tcPr/>
          <w:p>
            <w:pPr>
              <w:pStyle w:val="Compact"/>
              <w:jc w:val="left"/>
            </w:pPr>
            <w:r>
              <w:t xml:space="preserve">Histogram — commissioning year distribution</w:t>
            </w:r>
          </w:p>
        </w:tc>
      </w:tr>
      <w:tr>
        <w:tc>
          <w:tcPr/>
          <w:p>
            <w:pPr>
              <w:pStyle w:val="Compact"/>
              <w:jc w:val="left"/>
            </w:pPr>
            <w:r>
              <w:t xml:space="preserve">outputs/utility_region_lines.png</w:t>
            </w:r>
          </w:p>
        </w:tc>
        <w:tc>
          <w:tcPr/>
          <w:p>
            <w:pPr>
              <w:pStyle w:val="Compact"/>
              <w:jc w:val="left"/>
            </w:pPr>
            <w:r>
              <w:t xml:space="preserve">Bar chart — top 10 utility/region line counts</w:t>
            </w:r>
          </w:p>
        </w:tc>
      </w:tr>
      <w:tr>
        <w:tc>
          <w:tcPr/>
          <w:p>
            <w:pPr>
              <w:pStyle w:val="Compact"/>
              <w:jc w:val="left"/>
            </w:pPr>
            <w:r>
              <w:t xml:space="preserve">outputs/network_graph.png</w:t>
            </w:r>
          </w:p>
        </w:tc>
        <w:tc>
          <w:tcPr/>
          <w:p>
            <w:pPr>
              <w:pStyle w:val="Compact"/>
              <w:jc w:val="left"/>
            </w:pPr>
            <w:r>
              <w:t xml:space="preserve">Static network diagram coloured by region</w:t>
            </w:r>
          </w:p>
        </w:tc>
      </w:tr>
      <w:tr>
        <w:tc>
          <w:tcPr/>
          <w:p>
            <w:pPr>
              <w:pStyle w:val="Compact"/>
              <w:jc w:val="left"/>
            </w:pPr>
            <w:r>
              <w:t xml:space="preserve">outputs/substation_map_plotly.html</w:t>
            </w:r>
          </w:p>
        </w:tc>
        <w:tc>
          <w:tcPr/>
          <w:p>
            <w:pPr>
              <w:pStyle w:val="Compact"/>
              <w:jc w:val="left"/>
            </w:pPr>
            <w:r>
              <w:t xml:space="preserve">Interactive Plotly map (bubble size = capacity)</w:t>
            </w:r>
          </w:p>
        </w:tc>
      </w:tr>
      <w:tr>
        <w:tc>
          <w:tcPr/>
          <w:p>
            <w:pPr>
              <w:pStyle w:val="Compact"/>
              <w:jc w:val="left"/>
            </w:pPr>
            <w:r>
              <w:t xml:space="preserve">outputs/grid_map_folium.html</w:t>
            </w:r>
          </w:p>
        </w:tc>
        <w:tc>
          <w:tcPr/>
          <w:p>
            <w:pPr>
              <w:pStyle w:val="Compact"/>
              <w:jc w:val="left"/>
            </w:pPr>
            <w:r>
              <w:t xml:space="preserve">Interactive Folium map with voltage colours and lines</w:t>
            </w:r>
          </w:p>
        </w:tc>
      </w:tr>
      <w:tr>
        <w:tc>
          <w:tcPr/>
          <w:p>
            <w:pPr>
              <w:pStyle w:val="Compact"/>
              <w:jc w:val="left"/>
            </w:pPr>
            <w:r>
              <w:t xml:space="preserve">outputs/merged_lines.csv</w:t>
            </w:r>
          </w:p>
        </w:tc>
        <w:tc>
          <w:tcPr/>
          <w:p>
            <w:pPr>
              <w:pStyle w:val="Compact"/>
              <w:jc w:val="left"/>
            </w:pPr>
            <w:r>
              <w:t xml:space="preserve">Merged dataset (lines + substation + utility info)</w:t>
            </w:r>
          </w:p>
        </w:tc>
      </w:tr>
      <w:tr>
        <w:tc>
          <w:tcPr/>
          <w:p>
            <w:pPr>
              <w:pStyle w:val="Compact"/>
              <w:jc w:val="left"/>
            </w:pPr>
            <w:r>
              <w:t xml:space="preserve">outputs/findings_summary.txt</w:t>
            </w:r>
          </w:p>
        </w:tc>
        <w:tc>
          <w:tcPr/>
          <w:p>
            <w:pPr>
              <w:pStyle w:val="Compact"/>
              <w:jc w:val="left"/>
            </w:pPr>
            <w:r>
              <w:t xml:space="preserve">Key numbers summary</w:t>
            </w:r>
          </w:p>
        </w:tc>
      </w:tr>
    </w:tbl>
    <w:bookmarkEnd w:id="67"/>
    <w:bookmarkStart w:id="68" w:name="b.-gridcare-lite-demo-accounts"/>
    <w:p>
      <w:pPr>
        <w:pStyle w:val="Heading3"/>
      </w:pPr>
      <w:r>
        <w:t xml:space="preserve">B. GridCare-Lite Demo Accounts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Username</w:t>
            </w:r>
          </w:p>
        </w:tc>
        <w:tc>
          <w:tcPr/>
          <w:p>
            <w:pPr>
              <w:pStyle w:val="Compact"/>
              <w:jc w:val="left"/>
            </w:pPr>
            <w:r>
              <w:t xml:space="preserve">Password</w:t>
            </w:r>
          </w:p>
        </w:tc>
        <w:tc>
          <w:tcPr/>
          <w:p>
            <w:pPr>
              <w:pStyle w:val="Compact"/>
              <w:jc w:val="left"/>
            </w:pPr>
            <w:r>
              <w:t xml:space="preserve">Role</w:t>
            </w:r>
          </w:p>
        </w:tc>
      </w:tr>
      <w:tr>
        <w:tc>
          <w:tcPr/>
          <w:p>
            <w:pPr>
              <w:pStyle w:val="Compact"/>
              <w:jc w:val="left"/>
            </w:pPr>
            <w:r>
              <w:t xml:space="preserve">admin1</w:t>
            </w:r>
          </w:p>
        </w:tc>
        <w:tc>
          <w:tcPr/>
          <w:p>
            <w:pPr>
              <w:pStyle w:val="Compact"/>
              <w:jc w:val="left"/>
            </w:pPr>
            <w:r>
              <w:t xml:space="preserve">Admin@123</w:t>
            </w:r>
          </w:p>
        </w:tc>
        <w:tc>
          <w:tcPr/>
          <w:p>
            <w:pPr>
              <w:pStyle w:val="Compact"/>
              <w:jc w:val="left"/>
            </w:pPr>
            <w:r>
              <w:t xml:space="preserve">Administrator</w:t>
            </w:r>
          </w:p>
        </w:tc>
      </w:tr>
      <w:tr>
        <w:tc>
          <w:tcPr/>
          <w:p>
            <w:pPr>
              <w:pStyle w:val="Compact"/>
              <w:jc w:val="left"/>
            </w:pPr>
            <w:r>
              <w:t xml:space="preserve">engineer1</w:t>
            </w:r>
          </w:p>
        </w:tc>
        <w:tc>
          <w:tcPr/>
          <w:p>
            <w:pPr>
              <w:pStyle w:val="Compact"/>
              <w:jc w:val="left"/>
            </w:pPr>
            <w:r>
              <w:t xml:space="preserve">Engineer@123</w:t>
            </w:r>
          </w:p>
        </w:tc>
        <w:tc>
          <w:tcPr/>
          <w:p>
            <w:pPr>
              <w:pStyle w:val="Compact"/>
              <w:jc w:val="left"/>
            </w:pPr>
            <w:r>
              <w:t xml:space="preserve">Engineer</w:t>
            </w:r>
          </w:p>
        </w:tc>
      </w:tr>
      <w:tr>
        <w:tc>
          <w:tcPr/>
          <w:p>
            <w:pPr>
              <w:pStyle w:val="Compact"/>
              <w:jc w:val="left"/>
            </w:pPr>
            <w:r>
              <w:t xml:space="preserve">tech1</w:t>
            </w:r>
          </w:p>
        </w:tc>
        <w:tc>
          <w:tcPr/>
          <w:p>
            <w:pPr>
              <w:pStyle w:val="Compact"/>
              <w:jc w:val="left"/>
            </w:pPr>
            <w:r>
              <w:t xml:space="preserve">Tech@123</w:t>
            </w:r>
          </w:p>
        </w:tc>
        <w:tc>
          <w:tcPr/>
          <w:p>
            <w:pPr>
              <w:pStyle w:val="Compact"/>
              <w:jc w:val="left"/>
            </w:pPr>
            <w:r>
              <w:t xml:space="preserve">Technician</w:t>
            </w:r>
          </w:p>
        </w:tc>
      </w:tr>
      <w:tr>
        <w:tc>
          <w:tcPr/>
          <w:p>
            <w:pPr>
              <w:pStyle w:val="Compact"/>
              <w:jc w:val="left"/>
            </w:pPr>
            <w:r>
              <w:t xml:space="preserve">cs1</w:t>
            </w:r>
          </w:p>
        </w:tc>
        <w:tc>
          <w:tcPr/>
          <w:p>
            <w:pPr>
              <w:pStyle w:val="Compact"/>
              <w:jc w:val="left"/>
            </w:pPr>
            <w:r>
              <w:t xml:space="preserve">Service@123</w:t>
            </w:r>
          </w:p>
        </w:tc>
        <w:tc>
          <w:tcPr/>
          <w:p>
            <w:pPr>
              <w:pStyle w:val="Compact"/>
              <w:jc w:val="left"/>
            </w:pPr>
            <w:r>
              <w:t xml:space="preserve">Customer Service</w:t>
            </w:r>
          </w:p>
        </w:tc>
      </w:tr>
    </w:tbl>
    <w:bookmarkEnd w:id="68"/>
    <w:bookmarkStart w:id="69" w:name="c.-cliniccare-lite-sample-accounts"/>
    <w:p>
      <w:pPr>
        <w:pStyle w:val="Heading3"/>
      </w:pPr>
      <w:r>
        <w:t xml:space="preserve">C. ClinicCare-Lite Sample Accounts</w:t>
      </w:r>
    </w:p>
    <w:p>
      <w:pPr>
        <w:pStyle w:val="FirstParagraph"/>
      </w:pPr>
      <w:r>
        <w:t xml:space="preserve">Register at /register:</w:t>
      </w:r>
    </w:p>
    <w:p>
      <w:pPr>
        <w:numPr>
          <w:ilvl w:val="0"/>
          <w:numId w:val="1010"/>
        </w:numPr>
        <w:pStyle w:val="Compact"/>
      </w:pPr>
      <w:r>
        <w:t xml:space="preserve">Clinician: ID 12350000, password Clinician1!</w:t>
      </w:r>
    </w:p>
    <w:p>
      <w:pPr>
        <w:numPr>
          <w:ilvl w:val="0"/>
          <w:numId w:val="1010"/>
        </w:numPr>
        <w:pStyle w:val="Compact"/>
      </w:pPr>
      <w:r>
        <w:t xml:space="preserve">Patient: ID 12342024, password Patient123!</w:t>
      </w:r>
    </w:p>
    <w:bookmarkEnd w:id="69"/>
    <w:bookmarkStart w:id="70" w:name="d.-test-summary"/>
    <w:p>
      <w:pPr>
        <w:pStyle w:val="Heading3"/>
      </w:pPr>
      <w:r>
        <w:t xml:space="preserve">D. Test Summary</w:t>
      </w:r>
    </w:p>
    <w:p>
      <w:pPr>
        <w:pStyle w:val="FirstParagraph"/>
      </w:pPr>
      <w:r>
        <w:t xml:space="preserve">ClinicCare-Lite automated tests: 20/20 PASS</w:t>
      </w:r>
      <w:r>
        <w:t xml:space="preserve"> </w:t>
      </w:r>
      <w:r>
        <w:t xml:space="preserve">GridCare-Lite manual tests: 16/16 PASS</w:t>
      </w:r>
      <w:r>
        <w:t xml:space="preserve"> </w:t>
      </w:r>
      <w:r>
        <w:t xml:space="preserve">DataScience output verification: 14/14 PASS</w:t>
      </w:r>
    </w:p>
    <w:bookmarkEnd w:id="70"/>
    <w:bookmarkStart w:id="71" w:name="e.-github-repository"/>
    <w:p>
      <w:pPr>
        <w:pStyle w:val="Heading3"/>
      </w:pPr>
      <w:r>
        <w:t xml:space="preserve">E. GitHub / Repository</w:t>
      </w:r>
    </w:p>
    <w:p>
      <w:pPr>
        <w:pStyle w:val="FirstParagraph"/>
      </w:pPr>
      <w:r>
        <w:t xml:space="preserve">All source code, datasets, outputs, and documentation are included in the submitted project folder under CS112_Final_Project/project/.</w:t>
      </w:r>
    </w:p>
    <w:bookmarkEnd w:id="71"/>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24"/>
      <w:szCs w:val="24"/>
    </w:rPr>
  </w:style>
  <w:style w:styleId="Subtitle" w:type="paragraph">
    <w:name w:val="Subtitle"/>
    <w:basedOn w:val="Title"/>
    <w:next w:val="BodyText"/>
    <w:qFormat/>
    <w:pPr>
      <w:keepNext/>
      <w:keepLines/>
      <w:spacing w:after="240" w:before="240"/>
      <w:jc w:val="center"/>
    </w:pPr>
    <w:rPr>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4"/>
      <w:szCs w:val="24"/>
      <w:b/>
      <w:color w:val="000000"/>
      &gt;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000000"/>
      <w:sz w:val="24"/>
      <w:szCs w:val="24"/>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000000"/>
      <w:sz w:val="24"/>
      <w:szCs w:val="24"/>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2026-08-28T21:47:29Z</dcterms:created>
  <dcterms:modified xsi:type="dcterms:W3CDTF">2026-08-28T21:47:29Z</dcterms:modified>
</cp:coreProperties>
</file>

<file path=docProps/custom.xml><?xml version="1.0" encoding="utf-8"?>
<Properties xmlns="http://schemas.openxmlformats.org/officeDocument/2006/custom-properties" xmlns:vt="http://schemas.openxmlformats.org/officeDocument/2006/docPropsVTypes"/>
</file>