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technical-report"/>
    <w:p>
      <w:pPr>
        <w:pStyle w:val="Heading1"/>
      </w:pPr>
      <w:r>
        <w:t xml:space="preserve">Technical Report</w:t>
      </w:r>
    </w:p>
    <w:p>
      <w:pPr>
        <w:pStyle w:val="FirstParagraph"/>
      </w:pPr>
      <w:r>
        <w:t xml:space="preserve">CS 112 Final Project — Summer 2026</w:t>
      </w:r>
      <w:r>
        <w:t xml:space="preserve"> </w:t>
      </w:r>
      <w:r>
        <w:t xml:space="preserve">Group: Final Project 12</w:t>
      </w:r>
    </w:p>
    <w:p>
      <w:pPr>
        <w:pStyle w:val="BodyText"/>
      </w:pPr>
      <w:r>
        <w:t xml:space="preserve">Team: Manyok Gai Chop Deng, Gilford Irvin Adamnor Mensah-Akutteh,</w:t>
      </w:r>
      <w:r>
        <w:t xml:space="preserve"> </w:t>
      </w:r>
      <w:r>
        <w:t xml:space="preserve">Benedict Anorgeyine Atanga, Atiah Roland Shalom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project looks at two different but related problems: how do you analyse the structure and reliability of a national electricity grid using data science, and how do you build software systems that help manage the operational side of an electricity utility and a healthcare clinic?</w:t>
      </w:r>
    </w:p>
    <w:p>
      <w:pPr>
        <w:pStyle w:val="BodyText"/>
      </w:pPr>
      <w:r>
        <w:t xml:space="preserve">We built three things:</w:t>
      </w:r>
    </w:p>
    <w:p>
      <w:pPr>
        <w:numPr>
          <w:ilvl w:val="0"/>
          <w:numId w:val="1001"/>
        </w:numPr>
        <w:pStyle w:val="Compact"/>
      </w:pPr>
      <w:r>
        <w:t xml:space="preserve">A data science analysis of a synthetic Ghana electricity grid dataset</w:t>
      </w:r>
    </w:p>
    <w:p>
      <w:pPr>
        <w:numPr>
          <w:ilvl w:val="0"/>
          <w:numId w:val="1001"/>
        </w:numPr>
        <w:pStyle w:val="Compact"/>
      </w:pPr>
      <w:r>
        <w:t xml:space="preserve">GridCare-Lite, a desktop application for outage and maintenance management</w:t>
      </w:r>
    </w:p>
    <w:p>
      <w:pPr>
        <w:numPr>
          <w:ilvl w:val="0"/>
          <w:numId w:val="1001"/>
        </w:numPr>
        <w:pStyle w:val="Compact"/>
      </w:pPr>
      <w:r>
        <w:t xml:space="preserve">ClinicCare-Lite, a web application for clinic patient administration</w:t>
      </w:r>
    </w:p>
    <w:p>
      <w:pPr>
        <w:pStyle w:val="FirstParagraph"/>
      </w:pPr>
      <w:r>
        <w:t xml:space="preserve">The three components are connected — GridCare-Lite imports substation data directly from the DataScience CSV files, so outages in the app can only be logged against real substations that appear in the dataset.</w:t>
      </w:r>
    </w:p>
    <w:bookmarkEnd w:id="20"/>
    <w:bookmarkStart w:id="24" w:name="system-architecture"/>
    <w:p>
      <w:pPr>
        <w:pStyle w:val="Heading2"/>
      </w:pPr>
      <w:r>
        <w:t xml:space="preserve">2. System Architecture</w:t>
      </w:r>
    </w:p>
    <w:bookmarkStart w:id="21" w:name="datascience"/>
    <w:p>
      <w:pPr>
        <w:pStyle w:val="Heading3"/>
      </w:pPr>
      <w:r>
        <w:t xml:space="preserve">DataScience</w:t>
      </w:r>
    </w:p>
    <w:p>
      <w:pPr>
        <w:pStyle w:val="FirstParagraph"/>
      </w:pPr>
      <w:r>
        <w:t xml:space="preserve">The analysis is a Python script pipeline. generate_grid_data.py creates the three CSV files once with a fixed random seed (42) so every run produces identical data. grid_analysis.py then runs five sequential tasks:</w:t>
      </w:r>
    </w:p>
    <w:p>
      <w:pPr>
        <w:pStyle w:val="SourceCode"/>
      </w:pPr>
      <w:r>
        <w:rPr>
          <w:rStyle w:val="VerbatimChar"/>
        </w:rPr>
        <w:t xml:space="preserve">generate_grid_data.py → utilities.csv, substations.csv, lines.csv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grid_analysis.py</w:t>
      </w:r>
      <w:r>
        <w:br/>
      </w:r>
      <w:r>
        <w:rPr>
          <w:rStyle w:val="VerbatimChar"/>
        </w:rPr>
        <w:t xml:space="preserve">  Task 1: Load and inspect</w:t>
      </w:r>
      <w:r>
        <w:br/>
      </w:r>
      <w:r>
        <w:rPr>
          <w:rStyle w:val="VerbatimChar"/>
        </w:rPr>
        <w:t xml:space="preserve">  Task 2: Clean and validate</w:t>
      </w:r>
      <w:r>
        <w:br/>
      </w:r>
      <w:r>
        <w:rPr>
          <w:rStyle w:val="VerbatimChar"/>
        </w:rPr>
        <w:t xml:space="preserve">  Task 3: EDA — charts and statistics</w:t>
      </w:r>
      <w:r>
        <w:br/>
      </w:r>
      <w:r>
        <w:rPr>
          <w:rStyle w:val="VerbatimChar"/>
        </w:rPr>
        <w:t xml:space="preserve">  Task 4: Merge tables and business intelligence</w:t>
      </w:r>
      <w:r>
        <w:br/>
      </w:r>
      <w:r>
        <w:rPr>
          <w:rStyle w:val="VerbatimChar"/>
        </w:rPr>
        <w:t xml:space="preserve">  Task 5: NetworkX graph — centrality, communities, N-1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outputs/ (charts, maps, CSV, summary)</w:t>
      </w:r>
    </w:p>
    <w:bookmarkEnd w:id="21"/>
    <w:bookmarkStart w:id="22" w:name="gridcare-lite"/>
    <w:p>
      <w:pPr>
        <w:pStyle w:val="Heading3"/>
      </w:pPr>
      <w:r>
        <w:t xml:space="preserve">GridCare-Lite</w:t>
      </w:r>
    </w:p>
    <w:p>
      <w:pPr>
        <w:pStyle w:val="FirstParagraph"/>
      </w:pPr>
      <w:r>
        <w:t xml:space="preserve">Two-layer architecture: a Tkinter GUI layer on top, a SQLite data layer underneath.</w:t>
      </w:r>
    </w:p>
    <w:p>
      <w:pPr>
        <w:pStyle w:val="SourceCode"/>
      </w:pPr>
      <w:r>
        <w:rPr>
          <w:rStyle w:val="VerbatimChar"/>
        </w:rPr>
        <w:t xml:space="preserve">gridcare_app.py  (GUI — login, four role dashboards, report window)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database.py  (all SQL queries and database setup)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gridcare.db  (SQLite file — created automatically on first run)</w:t>
      </w:r>
    </w:p>
    <w:p>
      <w:pPr>
        <w:pStyle w:val="FirstParagraph"/>
      </w:pPr>
      <w:r>
        <w:t xml:space="preserve">On startup the app imports substations from DataScience/substations.csv into its own substations table. This means outages in GridCare-Lite always reference real substations from the analysis.</w:t>
      </w:r>
    </w:p>
    <w:bookmarkEnd w:id="22"/>
    <w:bookmarkStart w:id="23" w:name="cliniccare-lite"/>
    <w:p>
      <w:pPr>
        <w:pStyle w:val="Heading3"/>
      </w:pPr>
      <w:r>
        <w:t xml:space="preserve">ClinicCare-Lite</w:t>
      </w:r>
    </w:p>
    <w:p>
      <w:pPr>
        <w:pStyle w:val="FirstParagraph"/>
      </w:pPr>
      <w:r>
        <w:t xml:space="preserve">Flask web application with JSON file storage.</w:t>
      </w:r>
    </w:p>
    <w:p>
      <w:pPr>
        <w:pStyle w:val="SourceCode"/>
      </w:pPr>
      <w:r>
        <w:rPr>
          <w:rStyle w:val="VerbatimChar"/>
        </w:rPr>
        <w:t xml:space="preserve">Browser → app.py (Flask routes)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utils/validators.py   utils/storage.py   utils/email_handler.py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data/ (users.json, health_tasks.json, task_submissions.json,</w:t>
      </w:r>
      <w:r>
        <w:br/>
      </w:r>
      <w:r>
        <w:rPr>
          <w:rStyle w:val="VerbatimChar"/>
        </w:rPr>
        <w:t xml:space="preserve">           messages.json, announcements.json)</w:t>
      </w:r>
      <w:r>
        <w:br/>
      </w:r>
      <w:r>
        <w:rPr>
          <w:rStyle w:val="VerbatimChar"/>
        </w:rPr>
        <w:t xml:space="preserve">    submissions/ (uploaded files, one subfolder per patient)</w:t>
      </w:r>
    </w:p>
    <w:p>
      <w:pPr>
        <w:pStyle w:val="FirstParagraph"/>
      </w:pPr>
      <w:r>
        <w:t xml:space="preserve">We chose JSON files over a database because it keeps the app simple to run — no database server needed. For a real clinic this would need to be swapped for a proper database.</w:t>
      </w:r>
    </w:p>
    <w:bookmarkEnd w:id="23"/>
    <w:bookmarkEnd w:id="24"/>
    <w:bookmarkStart w:id="25" w:name="database-design-gridcare-lite"/>
    <w:p>
      <w:pPr>
        <w:pStyle w:val="Heading2"/>
      </w:pPr>
      <w:r>
        <w:t xml:space="preserve">3. Database Design — GridCare-Lite</w:t>
      </w:r>
    </w:p>
    <w:p>
      <w:pPr>
        <w:pStyle w:val="FirstParagraph"/>
      </w:pPr>
      <w:r>
        <w:t xml:space="preserve">Five tables:</w:t>
      </w:r>
    </w:p>
    <w:p>
      <w:pPr>
        <w:pStyle w:val="BodyText"/>
      </w:pPr>
      <w:r>
        <w:rPr>
          <w:bCs/>
          <w:b/>
        </w:rPr>
        <w:t xml:space="preserve">users</w:t>
      </w:r>
      <w:r>
        <w:t xml:space="preserve"> </w:t>
      </w:r>
      <w:r>
        <w:t xml:space="preserve">— application accounts</w:t>
      </w:r>
      <w:r>
        <w:t xml:space="preserve"> </w:t>
      </w:r>
      <w:r>
        <w:t xml:space="preserve">user_id (PK), username (UNIQUE), password_hash, role</w:t>
      </w:r>
    </w:p>
    <w:p>
      <w:pPr>
        <w:pStyle w:val="BodyText"/>
      </w:pPr>
      <w:r>
        <w:rPr>
          <w:bCs/>
          <w:b/>
        </w:rPr>
        <w:t xml:space="preserve">substations</w:t>
      </w:r>
      <w:r>
        <w:t xml:space="preserve"> </w:t>
      </w:r>
      <w:r>
        <w:t xml:space="preserve">— imported from DataScience CSV</w:t>
      </w:r>
      <w:r>
        <w:t xml:space="preserve"> </w:t>
      </w:r>
      <w:r>
        <w:t xml:space="preserve">substation_id (PK), name, region, voltage, status</w:t>
      </w:r>
    </w:p>
    <w:p>
      <w:pPr>
        <w:pStyle w:val="BodyText"/>
      </w:pPr>
      <w:r>
        <w:rPr>
          <w:bCs/>
          <w:b/>
        </w:rPr>
        <w:t xml:space="preserve">outages</w:t>
      </w:r>
      <w:r>
        <w:t xml:space="preserve"> </w:t>
      </w:r>
      <w:r>
        <w:t xml:space="preserve">— fault reports</w:t>
      </w:r>
      <w:r>
        <w:t xml:space="preserve"> </w:t>
      </w:r>
      <w:r>
        <w:t xml:space="preserve">outage_id (PK), substation_id (FK), reported_by (FK), description, severity, status, reported_at, resolved_at, resolution_notes</w:t>
      </w:r>
    </w:p>
    <w:p>
      <w:pPr>
        <w:pStyle w:val="BodyText"/>
      </w:pPr>
      <w:r>
        <w:rPr>
          <w:bCs/>
          <w:b/>
        </w:rPr>
        <w:t xml:space="preserve">work_orders</w:t>
      </w:r>
      <w:r>
        <w:t xml:space="preserve"> </w:t>
      </w:r>
      <w:r>
        <w:t xml:space="preserve">— maintenance assignments</w:t>
      </w:r>
      <w:r>
        <w:t xml:space="preserve"> </w:t>
      </w:r>
      <w:r>
        <w:t xml:space="preserve">work_order_id (PK), outage_id (FK), assigned_technician (FK), scheduled_date, status, created_by (FK)</w:t>
      </w:r>
    </w:p>
    <w:p>
      <w:pPr>
        <w:pStyle w:val="BodyText"/>
      </w:pPr>
      <w:r>
        <w:rPr>
          <w:bCs/>
          <w:b/>
        </w:rPr>
        <w:t xml:space="preserve">complaints</w:t>
      </w:r>
      <w:r>
        <w:t xml:space="preserve"> </w:t>
      </w:r>
      <w:r>
        <w:t xml:space="preserve">— customer complaints</w:t>
      </w:r>
      <w:r>
        <w:t xml:space="preserve"> </w:t>
      </w:r>
      <w:r>
        <w:t xml:space="preserve">complaint_id (PK), outage_id (FK, optional), customer_name, contact_info, description, logged_by (FK), logged_at</w:t>
      </w:r>
    </w:p>
    <w:p>
      <w:pPr>
        <w:pStyle w:val="BodyText"/>
      </w:pPr>
      <w:r>
        <w:t xml:space="preserve">Outage moves through: Open → In Progress → Resolved</w:t>
      </w:r>
      <w:r>
        <w:t xml:space="preserve"> </w:t>
      </w:r>
      <w:r>
        <w:t xml:space="preserve">Work order moves through: Pending → Scheduled → In Progress → Completed</w:t>
      </w:r>
    </w:p>
    <w:p>
      <w:pPr>
        <w:pStyle w:val="BodyText"/>
      </w:pPr>
      <w:r>
        <w:t xml:space="preserve">When a technician marks a work order Completed, the linked outage is automatically set to Resolved. When an admin creates a work order, the outage moves to In Progress.</w:t>
      </w:r>
    </w:p>
    <w:p>
      <w:pPr>
        <w:pStyle w:val="BodyText"/>
      </w:pPr>
      <w:r>
        <w:t xml:space="preserve">Foreign keys are enforced using PRAGMA foreign_keys = ON.</w:t>
      </w:r>
    </w:p>
    <w:bookmarkEnd w:id="25"/>
    <w:bookmarkStart w:id="26" w:name="data-model-cliniccare-lite"/>
    <w:p>
      <w:pPr>
        <w:pStyle w:val="Heading2"/>
      </w:pPr>
      <w:r>
        <w:t xml:space="preserve">4. Data Model — ClinicCare-Lite</w:t>
      </w:r>
    </w:p>
    <w:p>
      <w:pPr>
        <w:pStyle w:val="FirstParagraph"/>
      </w:pPr>
      <w:r>
        <w:rPr>
          <w:bCs/>
          <w:b/>
        </w:rPr>
        <w:t xml:space="preserve">users.json</w:t>
      </w:r>
      <w:r>
        <w:t xml:space="preserve"> </w:t>
      </w:r>
      <w:r>
        <w:t xml:space="preserve">— keyed by user_id (8-digit string)</w:t>
      </w:r>
      <w:r>
        <w:t xml:space="preserve"> </w:t>
      </w:r>
      <w:r>
        <w:t xml:space="preserve">Each entry holds: name, email, bcrypt password hash, role, registered_at</w:t>
      </w:r>
    </w:p>
    <w:p>
      <w:pPr>
        <w:pStyle w:val="BodyText"/>
      </w:pPr>
      <w:r>
        <w:rPr>
          <w:bCs/>
          <w:b/>
        </w:rPr>
        <w:t xml:space="preserve">health_tasks.json</w:t>
      </w:r>
      <w:r>
        <w:t xml:space="preserve"> </w:t>
      </w:r>
      <w:r>
        <w:t xml:space="preserve">— keyed by task_id (sequential integer as string: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2</w:t>
      </w:r>
      <w:r>
        <w:t xml:space="preserve">”</w:t>
      </w:r>
      <w:r>
        <w:t xml:space="preserve">, …)</w:t>
      </w:r>
      <w:r>
        <w:t xml:space="preserve"> </w:t>
      </w:r>
      <w:r>
        <w:t xml:space="preserve">Each entry holds: title, description, due_date, created_by, assigned_patients list, created_at</w:t>
      </w:r>
    </w:p>
    <w:p>
      <w:pPr>
        <w:pStyle w:val="BodyText"/>
      </w:pPr>
      <w:r>
        <w:t xml:space="preserve">Task IDs are sequential integers because the test suite accesses tasks by URL like /patient/tasks/1/submit.</w:t>
      </w:r>
    </w:p>
    <w:p>
      <w:pPr>
        <w:pStyle w:val="BodyText"/>
      </w:pPr>
      <w:r>
        <w:rPr>
          <w:bCs/>
          <w:b/>
        </w:rPr>
        <w:t xml:space="preserve">task_submissions.json</w:t>
      </w:r>
      <w:r>
        <w:t xml:space="preserve"> </w:t>
      </w:r>
      <w:r>
        <w:t xml:space="preserve">— keyed by submission_id (short UUID)</w:t>
      </w:r>
      <w:r>
        <w:t xml:space="preserve"> </w:t>
      </w:r>
      <w:r>
        <w:t xml:space="preserve">Each entry holds: task_id, patient_id, file_path, timestamp, review_status, review_notes, reviewer_id, completeness_issues list</w:t>
      </w:r>
    </w:p>
    <w:p>
      <w:pPr>
        <w:pStyle w:val="BodyText"/>
      </w:pPr>
      <w:r>
        <w:rPr>
          <w:bCs/>
          <w:b/>
        </w:rPr>
        <w:t xml:space="preserve">messages.json</w:t>
      </w:r>
      <w:r>
        <w:t xml:space="preserve"> </w:t>
      </w:r>
      <w:r>
        <w:t xml:space="preserve">— keyed by msg_id (short UUID)</w:t>
      </w:r>
      <w:r>
        <w:t xml:space="preserve"> </w:t>
      </w:r>
      <w:r>
        <w:t xml:space="preserve">Each entry holds: sender_id, recipient_id, content, timestamp, read flag</w:t>
      </w:r>
    </w:p>
    <w:p>
      <w:pPr>
        <w:pStyle w:val="BodyText"/>
      </w:pPr>
      <w:r>
        <w:rPr>
          <w:bCs/>
          <w:b/>
        </w:rPr>
        <w:t xml:space="preserve">announcements.json</w:t>
      </w:r>
      <w:r>
        <w:t xml:space="preserve"> </w:t>
      </w:r>
      <w:r>
        <w:t xml:space="preserve">— keyed by ann_id (short UUID)</w:t>
      </w:r>
      <w:r>
        <w:t xml:space="preserve"> </w:t>
      </w:r>
      <w:r>
        <w:t xml:space="preserve">Each entry holds: text, urgent flag, posted_by, posted_at</w:t>
      </w:r>
    </w:p>
    <w:bookmarkEnd w:id="26"/>
    <w:bookmarkStart w:id="33" w:name="security"/>
    <w:p>
      <w:pPr>
        <w:pStyle w:val="Heading2"/>
      </w:pPr>
      <w:r>
        <w:t xml:space="preserve">5. Security</w:t>
      </w:r>
    </w:p>
    <w:bookmarkStart w:id="27" w:name="passwords"/>
    <w:p>
      <w:pPr>
        <w:pStyle w:val="Heading3"/>
      </w:pPr>
      <w:r>
        <w:t xml:space="preserve">Passwords</w:t>
      </w:r>
    </w:p>
    <w:p>
      <w:pPr>
        <w:pStyle w:val="FirstParagraph"/>
      </w:pPr>
      <w:r>
        <w:t xml:space="preserve">All passwords are hashed with bcrypt before being stored. bcrypt is designed for password hashing — it is slow by design so brute-force attacks are not practical, and it automatically adds a salt to each hash so identical passwords produce different hashes.</w:t>
      </w:r>
    </w:p>
    <w:bookmarkEnd w:id="27"/>
    <w:bookmarkStart w:id="28" w:name="id-validation"/>
    <w:p>
      <w:pPr>
        <w:pStyle w:val="Heading3"/>
      </w:pPr>
      <w:r>
        <w:t xml:space="preserve">ID validation</w:t>
      </w:r>
    </w:p>
    <w:p>
      <w:pPr>
        <w:pStyle w:val="FirstParagraph"/>
      </w:pPr>
      <w:r>
        <w:t xml:space="preserve">Clinician IDs must be exactly 8 digits ending in 0000. Patient IDs must be 8 digits ending in a registration year between 2022 and 2028. These are checked before any account is created.</w:t>
      </w:r>
    </w:p>
    <w:bookmarkEnd w:id="28"/>
    <w:bookmarkStart w:id="29" w:name="password-strength"/>
    <w:p>
      <w:pPr>
        <w:pStyle w:val="Heading3"/>
      </w:pPr>
      <w:r>
        <w:t xml:space="preserve">Password strength</w:t>
      </w:r>
    </w:p>
    <w:p>
      <w:pPr>
        <w:pStyle w:val="FirstParagraph"/>
      </w:pPr>
      <w:r>
        <w:t xml:space="preserve">Minimum 8 characters, must include at least one uppercase letter, one lowercase letter, one digit, and one special character from !@#$%^&amp;*.</w:t>
      </w:r>
    </w:p>
    <w:bookmarkEnd w:id="29"/>
    <w:bookmarkStart w:id="30" w:name="role-based-access"/>
    <w:p>
      <w:pPr>
        <w:pStyle w:val="Heading3"/>
      </w:pPr>
      <w:r>
        <w:t xml:space="preserve">Role-based access</w:t>
      </w:r>
    </w:p>
    <w:p>
      <w:pPr>
        <w:pStyle w:val="FirstParagraph"/>
      </w:pPr>
      <w:r>
        <w:t xml:space="preserve">Flask routes use require_login(role=</w:t>
      </w:r>
      <w:r>
        <w:t xml:space="preserve">“</w:t>
      </w:r>
      <w:r>
        <w:t xml:space="preserve">clinician</w:t>
      </w:r>
      <w:r>
        <w:t xml:space="preserve">”</w:t>
      </w:r>
      <w:r>
        <w:t xml:space="preserve">) or require_login(role=</w:t>
      </w:r>
      <w:r>
        <w:t xml:space="preserve">“</w:t>
      </w:r>
      <w:r>
        <w:t xml:space="preserve">patient</w:t>
      </w:r>
      <w:r>
        <w:t xml:space="preserve">”</w:t>
      </w:r>
      <w:r>
        <w:t xml:space="preserve">) which checks the session and aborts with 403 if the wrong role tries to access a route. Patients cannot reach /clinician. Clinicians cannot reach another clinician’s data.</w:t>
      </w:r>
    </w:p>
    <w:bookmarkEnd w:id="30"/>
    <w:bookmarkStart w:id="31" w:name="file-isolation"/>
    <w:p>
      <w:pPr>
        <w:pStyle w:val="Heading3"/>
      </w:pPr>
      <w:r>
        <w:t xml:space="preserve">File isolation</w:t>
      </w:r>
    </w:p>
    <w:p>
      <w:pPr>
        <w:pStyle w:val="FirstParagraph"/>
      </w:pPr>
      <w:r>
        <w:t xml:space="preserve">Submitted files are stored in submissions/</w:t>
      </w:r>
      <w:r>
        <w:t xml:space="preserve">/ subfolders. The download route checks that the requesting patient’s ID matches the folder in the URL. Any attempt by patient A to download patient B’s file returns 403.</w:t>
      </w:r>
    </w:p>
    <w:bookmarkEnd w:id="31"/>
    <w:bookmarkStart w:id="32" w:name="non-diagnostic-scope"/>
    <w:p>
      <w:pPr>
        <w:pStyle w:val="Heading3"/>
      </w:pPr>
      <w:r>
        <w:t xml:space="preserve">Non-diagnostic scope</w:t>
      </w:r>
    </w:p>
    <w:p>
      <w:pPr>
        <w:pStyle w:val="FirstParagraph"/>
      </w:pPr>
      <w:r>
        <w:t xml:space="preserve">ClinicCare-Lite does not diagnose patients, interpret symptoms, or calculate health risk. The automated form-completeness check only verifies whether required fields are present in a submitted CSV or TXT — it never interprets what the values mean. Review outcomes are administrative categories (Pending, Reviewed-Normal, Needs Follow-up, Escalated) assigned by a human clinician.</w:t>
      </w:r>
    </w:p>
    <w:bookmarkEnd w:id="32"/>
    <w:bookmarkEnd w:id="33"/>
    <w:bookmarkStart w:id="34" w:name="network-analysis-methods"/>
    <w:p>
      <w:pPr>
        <w:pStyle w:val="Heading2"/>
      </w:pPr>
      <w:r>
        <w:t xml:space="preserve">6. Network Analysis Methods</w:t>
      </w:r>
    </w:p>
    <w:p>
      <w:pPr>
        <w:pStyle w:val="FirstParagraph"/>
      </w:pPr>
      <w:r>
        <w:t xml:space="preserve">We modelled the electricity grid as an undirected graph where substations are nodes and transmission/distribution lines are edges. We used an undirected graph because AC power can flow in either direction along a line depending on system conditions.</w:t>
      </w:r>
    </w:p>
    <w:p>
      <w:pPr>
        <w:pStyle w:val="BodyText"/>
      </w:pPr>
      <w:r>
        <w:rPr>
          <w:bCs/>
          <w:b/>
        </w:rPr>
        <w:t xml:space="preserve">Metrics we calculated:</w:t>
      </w:r>
    </w:p>
    <w:p>
      <w:pPr>
        <w:pStyle w:val="BodyText"/>
      </w:pPr>
      <w:r>
        <w:t xml:space="preserve">Degree centrality — fraction of nodes a substation is directly connected to. High degree means many direct connections.</w:t>
      </w:r>
    </w:p>
    <w:p>
      <w:pPr>
        <w:pStyle w:val="BodyText"/>
      </w:pPr>
      <w:r>
        <w:t xml:space="preserve">Betweenness centrality — how often a substation sits on the shortest path between other pairs of nodes. High betweenness means the substation acts as a bridge between parts of the network.</w:t>
      </w:r>
    </w:p>
    <w:p>
      <w:pPr>
        <w:pStyle w:val="BodyText"/>
      </w:pPr>
      <w:r>
        <w:t xml:space="preserve">Closeness centrality — how quickly a substation can reach all other nodes. High closeness means it is centrally located in the network.</w:t>
      </w:r>
    </w:p>
    <w:p>
      <w:pPr>
        <w:pStyle w:val="BodyText"/>
      </w:pPr>
      <w:r>
        <w:t xml:space="preserve">PageRank — iterative score based on how many important nodes link to a node. Borrowed from web link analysis.</w:t>
      </w:r>
    </w:p>
    <w:p>
      <w:pPr>
        <w:pStyle w:val="BodyText"/>
      </w:pPr>
      <w:r>
        <w:t xml:space="preserve">Clustering coefficient — proportion of a node’s neighbours that are also directly connected to each other.</w:t>
      </w:r>
    </w:p>
    <w:p>
      <w:pPr>
        <w:pStyle w:val="BodyText"/>
      </w:pPr>
      <w:r>
        <w:rPr>
          <w:bCs/>
          <w:b/>
        </w:rPr>
        <w:t xml:space="preserve">Community detection:</w:t>
      </w:r>
      <w:r>
        <w:t xml:space="preserve"> </w:t>
      </w:r>
      <w:r>
        <w:t xml:space="preserve">We used the greedy modularity maximisation method from NetworkX to find natural clusters in the network. This found 10 communities roughly corresponding to geographic regions.</w:t>
      </w:r>
    </w:p>
    <w:p>
      <w:pPr>
        <w:pStyle w:val="BodyText"/>
      </w:pPr>
      <w:r>
        <w:rPr>
          <w:bCs/>
          <w:b/>
        </w:rPr>
        <w:t xml:space="preserve">Bridge lines:</w:t>
      </w:r>
      <w:r>
        <w:t xml:space="preserve"> </w:t>
      </w:r>
      <w:r>
        <w:t xml:space="preserve">Edges whose removal would disconnect the graph. We found 21 such lines, indicating which transmission connections are single points of failure.</w:t>
      </w:r>
    </w:p>
    <w:p>
      <w:pPr>
        <w:pStyle w:val="BodyText"/>
      </w:pPr>
      <w:r>
        <w:rPr>
          <w:bCs/>
          <w:b/>
        </w:rPr>
        <w:t xml:space="preserve">N-1 Contingency:</w:t>
      </w:r>
      <w:r>
        <w:t xml:space="preserve"> </w:t>
      </w:r>
      <w:r>
        <w:t xml:space="preserve">We removed the highest-degree hub (Mallam) and the highest-betweenness hub (Cape Coast) separately from a copy of the graph and counted connected components. Removing Cape Coast increased components from 3 to 5, showing it is a structurally critical node.</w:t>
      </w:r>
    </w:p>
    <w:p>
      <w:pPr>
        <w:pStyle w:val="BodyText"/>
      </w:pPr>
      <w:r>
        <w:rPr>
          <w:bCs/>
          <w:b/>
        </w:rPr>
        <w:t xml:space="preserve">Important note:</w:t>
      </w:r>
      <w:r>
        <w:t xml:space="preserve"> </w:t>
      </w:r>
      <w:r>
        <w:t xml:space="preserve">All dataset values are synthetic. These results reflect the topology of a fictional dataset, not the real Ghana grid. Centrality scores are structural proxies only — they do not represent real electrical load, protection behaviour, or power flow.</w:t>
      </w:r>
    </w:p>
    <w:bookmarkEnd w:id="34"/>
    <w:bookmarkStart w:id="35" w:name="challenges-we-faced"/>
    <w:p>
      <w:pPr>
        <w:pStyle w:val="Heading2"/>
      </w:pPr>
      <w:r>
        <w:t xml:space="preserve">7. Challenges We Faced</w:t>
      </w:r>
    </w:p>
    <w:p>
      <w:pPr>
        <w:pStyle w:val="FirstParagraph"/>
      </w:pPr>
      <w:r>
        <w:t xml:space="preserve">The biggest integration challenge was connecting GridCare-Lite to the DataScience output. The app needs substations.csv to exist before it runs. We added a multi-path search so the app looks for the CSV at several relative locations and prints a warning if none are found, rather than crashing.</w:t>
      </w:r>
    </w:p>
    <w:p>
      <w:pPr>
        <w:pStyle w:val="BodyText"/>
      </w:pPr>
      <w:r>
        <w:t xml:space="preserve">Getting the ClinicCare-Lite test suite to pass completely took several iterations, especially the full end-to-end workflow test. The main issue was that task IDs were originally random UUIDs but the test hard-codes task ID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. Switching to sequential integers fixed this.</w:t>
      </w:r>
    </w:p>
    <w:p>
      <w:pPr>
        <w:pStyle w:val="BodyText"/>
      </w:pPr>
      <w:r>
        <w:t xml:space="preserve">The macOS port conflict (AirPlay Receiver occupying port 5000) was an unexpected environment issue we documented in the defect log and installation guide.</w:t>
      </w:r>
    </w:p>
    <w:bookmarkEnd w:id="35"/>
    <w:bookmarkStart w:id="36" w:name="known-limitations"/>
    <w:p>
      <w:pPr>
        <w:pStyle w:val="Heading2"/>
      </w:pPr>
      <w:r>
        <w:t xml:space="preserve">8. Known Limitations</w:t>
      </w:r>
    </w:p>
    <w:p>
      <w:pPr>
        <w:numPr>
          <w:ilvl w:val="0"/>
          <w:numId w:val="1002"/>
        </w:numPr>
        <w:pStyle w:val="Compact"/>
      </w:pPr>
      <w:r>
        <w:t xml:space="preserve">GridCare-Lite uses a single local SQLite file — not suitable for multi-user deployment</w:t>
      </w:r>
    </w:p>
    <w:p>
      <w:pPr>
        <w:numPr>
          <w:ilvl w:val="0"/>
          <w:numId w:val="1002"/>
        </w:numPr>
        <w:pStyle w:val="Compact"/>
      </w:pPr>
      <w:r>
        <w:t xml:space="preserve">ClinicCare-Lite JSON storage would not scale beyond a small prototype</w:t>
      </w:r>
    </w:p>
    <w:p>
      <w:pPr>
        <w:numPr>
          <w:ilvl w:val="0"/>
          <w:numId w:val="1002"/>
        </w:numPr>
        <w:pStyle w:val="Compact"/>
      </w:pPr>
      <w:r>
        <w:t xml:space="preserve">Email notifications require external credentials to enable</w:t>
      </w:r>
    </w:p>
    <w:p>
      <w:pPr>
        <w:numPr>
          <w:ilvl w:val="0"/>
          <w:numId w:val="1002"/>
        </w:numPr>
        <w:pStyle w:val="Compact"/>
      </w:pPr>
      <w:r>
        <w:t xml:space="preserve">The Flask development server is not a production server</w:t>
      </w:r>
    </w:p>
    <w:p>
      <w:pPr>
        <w:numPr>
          <w:ilvl w:val="0"/>
          <w:numId w:val="1002"/>
        </w:numPr>
        <w:pStyle w:val="Compact"/>
      </w:pPr>
      <w:r>
        <w:t xml:space="preserve">N-1 contingency is graph-structural only, not a real power-flow study</w:t>
      </w:r>
    </w:p>
    <w:bookmarkEnd w:id="36"/>
    <w:bookmarkStart w:id="37" w:name="what-we-would-do-differently"/>
    <w:p>
      <w:pPr>
        <w:pStyle w:val="Heading2"/>
      </w:pPr>
      <w:r>
        <w:t xml:space="preserve">9. What We Would Do Differently</w:t>
      </w:r>
    </w:p>
    <w:p>
      <w:pPr>
        <w:pStyle w:val="FirstParagraph"/>
      </w:pPr>
      <w:r>
        <w:t xml:space="preserve">If we had more time we would migrate ClinicCare-Lite to SQLite for more reliable concurrent access, add appointment scheduling, and replace polling-based messaging with WebSockets for a more responsive inbox. For GridCare-Lite we would add embedded Matplotlib charts inside the Tkinter window to visualise outage trends directly in the app.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24"/>
      <w:szCs w:val="24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4"/>
      <w:szCs w:val="24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2026-08-28T21:47:29Z</dcterms:created>
  <dcterms:modified xsi:type="dcterms:W3CDTF">2026-08-28T21:47:29Z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