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8783" w14:textId="77777777" w:rsidR="000A7066" w:rsidRDefault="000A7066"/>
    <w:p w14:paraId="548F9E41" w14:textId="77777777" w:rsidR="000A7066" w:rsidRDefault="000A7066"/>
    <w:p w14:paraId="24B71296" w14:textId="77777777" w:rsidR="000A7066" w:rsidRDefault="000A7066"/>
    <w:p w14:paraId="1E50B858" w14:textId="77777777" w:rsidR="000A7066" w:rsidRDefault="000A7066"/>
    <w:p w14:paraId="19BCD61F" w14:textId="77777777" w:rsidR="000A7066" w:rsidRDefault="000A7066"/>
    <w:p w14:paraId="7C6F280B" w14:textId="77777777" w:rsidR="000A7066" w:rsidRDefault="000A7066"/>
    <w:p w14:paraId="4F602475" w14:textId="77777777" w:rsidR="000A7066" w:rsidRDefault="000A7066"/>
    <w:p w14:paraId="0015AC6A" w14:textId="77777777" w:rsidR="00E16861" w:rsidRDefault="00E16861" w:rsidP="00E16861">
      <w:pPr>
        <w:spacing w:after="160"/>
        <w:jc w:val="center"/>
        <w:rPr>
          <w:b/>
        </w:rPr>
      </w:pPr>
    </w:p>
    <w:p w14:paraId="1942503F" w14:textId="77777777" w:rsidR="00E16861" w:rsidRDefault="00E16861" w:rsidP="00E16861">
      <w:pPr>
        <w:spacing w:after="160"/>
        <w:jc w:val="center"/>
        <w:rPr>
          <w:b/>
        </w:rPr>
      </w:pPr>
    </w:p>
    <w:p w14:paraId="37FD2A2C" w14:textId="5C0126BF" w:rsidR="00E16861" w:rsidRDefault="00000000" w:rsidP="00E16861">
      <w:pPr>
        <w:spacing w:after="160"/>
        <w:jc w:val="center"/>
        <w:rPr>
          <w:b/>
          <w:sz w:val="40"/>
          <w:szCs w:val="36"/>
        </w:rPr>
      </w:pPr>
      <w:r w:rsidRPr="00E16861">
        <w:rPr>
          <w:b/>
          <w:sz w:val="40"/>
          <w:szCs w:val="36"/>
        </w:rPr>
        <w:t xml:space="preserve">BACKEND </w:t>
      </w:r>
      <w:r w:rsidR="00781D4E">
        <w:rPr>
          <w:b/>
          <w:sz w:val="40"/>
          <w:szCs w:val="36"/>
        </w:rPr>
        <w:t>ARCHITECTURES</w:t>
      </w:r>
    </w:p>
    <w:p w14:paraId="4A1415EB" w14:textId="77777777" w:rsidR="00E16861" w:rsidRDefault="00E16861">
      <w:pPr>
        <w:spacing w:after="200"/>
        <w:rPr>
          <w:b/>
          <w:sz w:val="40"/>
          <w:szCs w:val="36"/>
        </w:rPr>
      </w:pPr>
      <w:r>
        <w:rPr>
          <w:b/>
          <w:sz w:val="40"/>
          <w:szCs w:val="36"/>
        </w:rPr>
        <w:br w:type="page"/>
      </w:r>
    </w:p>
    <w:sdt>
      <w:sdtPr>
        <w:rPr>
          <w:rFonts w:ascii="Times New Roman" w:eastAsia="Times New Roman" w:hAnsi="Times New Roman" w:cstheme="minorBidi"/>
          <w:b w:val="0"/>
          <w:bCs w:val="0"/>
          <w:sz w:val="24"/>
          <w:szCs w:val="22"/>
        </w:rPr>
        <w:id w:val="-782577659"/>
        <w:docPartObj>
          <w:docPartGallery w:val="Table of Contents"/>
          <w:docPartUnique/>
        </w:docPartObj>
      </w:sdtPr>
      <w:sdtEndPr>
        <w:rPr>
          <w:noProof/>
        </w:rPr>
      </w:sdtEndPr>
      <w:sdtContent>
        <w:p w14:paraId="02343618" w14:textId="2CF8D66B" w:rsidR="00E16861" w:rsidRDefault="00E16861">
          <w:pPr>
            <w:pStyle w:val="TOCHeading"/>
          </w:pPr>
          <w:r>
            <w:t>Contents</w:t>
          </w:r>
        </w:p>
        <w:p w14:paraId="0E3079E5" w14:textId="342386CD" w:rsidR="00781D4E" w:rsidRDefault="00E16861">
          <w:pPr>
            <w:pStyle w:val="TOC1"/>
            <w:tabs>
              <w:tab w:val="right" w:leader="dot" w:pos="9782"/>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0631027" w:history="1">
            <w:r w:rsidR="00781D4E" w:rsidRPr="00C22B2D">
              <w:rPr>
                <w:rStyle w:val="Hyperlink"/>
                <w:noProof/>
              </w:rPr>
              <w:t>BACKEND ARCHITECTURE FUNDAMENTALS</w:t>
            </w:r>
            <w:r w:rsidR="00781D4E">
              <w:rPr>
                <w:noProof/>
                <w:webHidden/>
              </w:rPr>
              <w:tab/>
            </w:r>
            <w:r w:rsidR="00781D4E">
              <w:rPr>
                <w:noProof/>
                <w:webHidden/>
              </w:rPr>
              <w:fldChar w:fldCharType="begin"/>
            </w:r>
            <w:r w:rsidR="00781D4E">
              <w:rPr>
                <w:noProof/>
                <w:webHidden/>
              </w:rPr>
              <w:instrText xml:space="preserve"> PAGEREF _Toc240631027 \h </w:instrText>
            </w:r>
            <w:r w:rsidR="00781D4E">
              <w:rPr>
                <w:noProof/>
                <w:webHidden/>
              </w:rPr>
            </w:r>
            <w:r w:rsidR="00781D4E">
              <w:rPr>
                <w:noProof/>
                <w:webHidden/>
              </w:rPr>
              <w:fldChar w:fldCharType="separate"/>
            </w:r>
            <w:r w:rsidR="00781D4E">
              <w:rPr>
                <w:noProof/>
                <w:webHidden/>
              </w:rPr>
              <w:t>3</w:t>
            </w:r>
            <w:r w:rsidR="00781D4E">
              <w:rPr>
                <w:noProof/>
                <w:webHidden/>
              </w:rPr>
              <w:fldChar w:fldCharType="end"/>
            </w:r>
          </w:hyperlink>
        </w:p>
        <w:p w14:paraId="74C10F8B" w14:textId="13882477" w:rsidR="00781D4E" w:rsidRDefault="00781D4E">
          <w:pPr>
            <w:pStyle w:val="TOC2"/>
            <w:tabs>
              <w:tab w:val="right" w:leader="dot" w:pos="9782"/>
            </w:tabs>
            <w:rPr>
              <w:rFonts w:asciiTheme="minorHAnsi" w:eastAsiaTheme="minorEastAsia" w:hAnsiTheme="minorHAnsi"/>
              <w:noProof/>
              <w:kern w:val="2"/>
              <w:szCs w:val="24"/>
              <w14:ligatures w14:val="standardContextual"/>
            </w:rPr>
          </w:pPr>
          <w:hyperlink w:anchor="_Toc240631028" w:history="1">
            <w:r w:rsidRPr="00C22B2D">
              <w:rPr>
                <w:rStyle w:val="Hyperlink"/>
                <w:noProof/>
              </w:rPr>
              <w:t>1. Architecture models</w:t>
            </w:r>
            <w:r>
              <w:rPr>
                <w:noProof/>
                <w:webHidden/>
              </w:rPr>
              <w:tab/>
            </w:r>
            <w:r>
              <w:rPr>
                <w:noProof/>
                <w:webHidden/>
              </w:rPr>
              <w:fldChar w:fldCharType="begin"/>
            </w:r>
            <w:r>
              <w:rPr>
                <w:noProof/>
                <w:webHidden/>
              </w:rPr>
              <w:instrText xml:space="preserve"> PAGEREF _Toc240631028 \h </w:instrText>
            </w:r>
            <w:r>
              <w:rPr>
                <w:noProof/>
                <w:webHidden/>
              </w:rPr>
            </w:r>
            <w:r>
              <w:rPr>
                <w:noProof/>
                <w:webHidden/>
              </w:rPr>
              <w:fldChar w:fldCharType="separate"/>
            </w:r>
            <w:r>
              <w:rPr>
                <w:noProof/>
                <w:webHidden/>
              </w:rPr>
              <w:t>3</w:t>
            </w:r>
            <w:r>
              <w:rPr>
                <w:noProof/>
                <w:webHidden/>
              </w:rPr>
              <w:fldChar w:fldCharType="end"/>
            </w:r>
          </w:hyperlink>
        </w:p>
        <w:p w14:paraId="2D7E4108" w14:textId="321B5B19"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29" w:history="1">
            <w:r w:rsidRPr="00C22B2D">
              <w:rPr>
                <w:rStyle w:val="Hyperlink"/>
                <w:noProof/>
              </w:rPr>
              <w:t>Monolith</w:t>
            </w:r>
            <w:r>
              <w:rPr>
                <w:noProof/>
                <w:webHidden/>
              </w:rPr>
              <w:tab/>
            </w:r>
            <w:r>
              <w:rPr>
                <w:noProof/>
                <w:webHidden/>
              </w:rPr>
              <w:fldChar w:fldCharType="begin"/>
            </w:r>
            <w:r>
              <w:rPr>
                <w:noProof/>
                <w:webHidden/>
              </w:rPr>
              <w:instrText xml:space="preserve"> PAGEREF _Toc240631029 \h </w:instrText>
            </w:r>
            <w:r>
              <w:rPr>
                <w:noProof/>
                <w:webHidden/>
              </w:rPr>
            </w:r>
            <w:r>
              <w:rPr>
                <w:noProof/>
                <w:webHidden/>
              </w:rPr>
              <w:fldChar w:fldCharType="separate"/>
            </w:r>
            <w:r>
              <w:rPr>
                <w:noProof/>
                <w:webHidden/>
              </w:rPr>
              <w:t>3</w:t>
            </w:r>
            <w:r>
              <w:rPr>
                <w:noProof/>
                <w:webHidden/>
              </w:rPr>
              <w:fldChar w:fldCharType="end"/>
            </w:r>
          </w:hyperlink>
        </w:p>
        <w:p w14:paraId="5F919B5C" w14:textId="55C156C9"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30" w:history="1">
            <w:r w:rsidRPr="00C22B2D">
              <w:rPr>
                <w:rStyle w:val="Hyperlink"/>
                <w:noProof/>
              </w:rPr>
              <w:t>Modular monolith</w:t>
            </w:r>
            <w:r>
              <w:rPr>
                <w:noProof/>
                <w:webHidden/>
              </w:rPr>
              <w:tab/>
            </w:r>
            <w:r>
              <w:rPr>
                <w:noProof/>
                <w:webHidden/>
              </w:rPr>
              <w:fldChar w:fldCharType="begin"/>
            </w:r>
            <w:r>
              <w:rPr>
                <w:noProof/>
                <w:webHidden/>
              </w:rPr>
              <w:instrText xml:space="preserve"> PAGEREF _Toc240631030 \h </w:instrText>
            </w:r>
            <w:r>
              <w:rPr>
                <w:noProof/>
                <w:webHidden/>
              </w:rPr>
            </w:r>
            <w:r>
              <w:rPr>
                <w:noProof/>
                <w:webHidden/>
              </w:rPr>
              <w:fldChar w:fldCharType="separate"/>
            </w:r>
            <w:r>
              <w:rPr>
                <w:noProof/>
                <w:webHidden/>
              </w:rPr>
              <w:t>3</w:t>
            </w:r>
            <w:r>
              <w:rPr>
                <w:noProof/>
                <w:webHidden/>
              </w:rPr>
              <w:fldChar w:fldCharType="end"/>
            </w:r>
          </w:hyperlink>
        </w:p>
        <w:p w14:paraId="7001EEE3" w14:textId="15C7A8E4" w:rsidR="00781D4E" w:rsidRDefault="00781D4E">
          <w:pPr>
            <w:pStyle w:val="TOC2"/>
            <w:tabs>
              <w:tab w:val="right" w:leader="dot" w:pos="9782"/>
            </w:tabs>
            <w:rPr>
              <w:rFonts w:asciiTheme="minorHAnsi" w:eastAsiaTheme="minorEastAsia" w:hAnsiTheme="minorHAnsi"/>
              <w:noProof/>
              <w:kern w:val="2"/>
              <w:szCs w:val="24"/>
              <w14:ligatures w14:val="standardContextual"/>
            </w:rPr>
          </w:pPr>
          <w:hyperlink w:anchor="_Toc240631031" w:history="1">
            <w:r w:rsidRPr="00C22B2D">
              <w:rPr>
                <w:rStyle w:val="Hyperlink"/>
                <w:noProof/>
              </w:rPr>
              <w:t>2. Microservices, service boundaries, and data ownership</w:t>
            </w:r>
            <w:r>
              <w:rPr>
                <w:noProof/>
                <w:webHidden/>
              </w:rPr>
              <w:tab/>
            </w:r>
            <w:r>
              <w:rPr>
                <w:noProof/>
                <w:webHidden/>
              </w:rPr>
              <w:fldChar w:fldCharType="begin"/>
            </w:r>
            <w:r>
              <w:rPr>
                <w:noProof/>
                <w:webHidden/>
              </w:rPr>
              <w:instrText xml:space="preserve"> PAGEREF _Toc240631031 \h </w:instrText>
            </w:r>
            <w:r>
              <w:rPr>
                <w:noProof/>
                <w:webHidden/>
              </w:rPr>
            </w:r>
            <w:r>
              <w:rPr>
                <w:noProof/>
                <w:webHidden/>
              </w:rPr>
              <w:fldChar w:fldCharType="separate"/>
            </w:r>
            <w:r>
              <w:rPr>
                <w:noProof/>
                <w:webHidden/>
              </w:rPr>
              <w:t>4</w:t>
            </w:r>
            <w:r>
              <w:rPr>
                <w:noProof/>
                <w:webHidden/>
              </w:rPr>
              <w:fldChar w:fldCharType="end"/>
            </w:r>
          </w:hyperlink>
        </w:p>
        <w:p w14:paraId="15366BD6" w14:textId="493A0BDE"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32" w:history="1">
            <w:r w:rsidRPr="00C22B2D">
              <w:rPr>
                <w:rStyle w:val="Hyperlink"/>
                <w:noProof/>
              </w:rPr>
              <w:t>High cohesion and loose coupling</w:t>
            </w:r>
            <w:r>
              <w:rPr>
                <w:noProof/>
                <w:webHidden/>
              </w:rPr>
              <w:tab/>
            </w:r>
            <w:r>
              <w:rPr>
                <w:noProof/>
                <w:webHidden/>
              </w:rPr>
              <w:fldChar w:fldCharType="begin"/>
            </w:r>
            <w:r>
              <w:rPr>
                <w:noProof/>
                <w:webHidden/>
              </w:rPr>
              <w:instrText xml:space="preserve"> PAGEREF _Toc240631032 \h </w:instrText>
            </w:r>
            <w:r>
              <w:rPr>
                <w:noProof/>
                <w:webHidden/>
              </w:rPr>
            </w:r>
            <w:r>
              <w:rPr>
                <w:noProof/>
                <w:webHidden/>
              </w:rPr>
              <w:fldChar w:fldCharType="separate"/>
            </w:r>
            <w:r>
              <w:rPr>
                <w:noProof/>
                <w:webHidden/>
              </w:rPr>
              <w:t>4</w:t>
            </w:r>
            <w:r>
              <w:rPr>
                <w:noProof/>
                <w:webHidden/>
              </w:rPr>
              <w:fldChar w:fldCharType="end"/>
            </w:r>
          </w:hyperlink>
        </w:p>
        <w:p w14:paraId="63D39D79" w14:textId="6430B19C"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33" w:history="1">
            <w:r w:rsidRPr="00C22B2D">
              <w:rPr>
                <w:rStyle w:val="Hyperlink"/>
                <w:noProof/>
              </w:rPr>
              <w:t>Why companies accept microservice complexity</w:t>
            </w:r>
            <w:r>
              <w:rPr>
                <w:noProof/>
                <w:webHidden/>
              </w:rPr>
              <w:tab/>
            </w:r>
            <w:r>
              <w:rPr>
                <w:noProof/>
                <w:webHidden/>
              </w:rPr>
              <w:fldChar w:fldCharType="begin"/>
            </w:r>
            <w:r>
              <w:rPr>
                <w:noProof/>
                <w:webHidden/>
              </w:rPr>
              <w:instrText xml:space="preserve"> PAGEREF _Toc240631033 \h </w:instrText>
            </w:r>
            <w:r>
              <w:rPr>
                <w:noProof/>
                <w:webHidden/>
              </w:rPr>
            </w:r>
            <w:r>
              <w:rPr>
                <w:noProof/>
                <w:webHidden/>
              </w:rPr>
              <w:fldChar w:fldCharType="separate"/>
            </w:r>
            <w:r>
              <w:rPr>
                <w:noProof/>
                <w:webHidden/>
              </w:rPr>
              <w:t>5</w:t>
            </w:r>
            <w:r>
              <w:rPr>
                <w:noProof/>
                <w:webHidden/>
              </w:rPr>
              <w:fldChar w:fldCharType="end"/>
            </w:r>
          </w:hyperlink>
        </w:p>
        <w:p w14:paraId="484D15A8" w14:textId="07CCD03A" w:rsidR="00781D4E" w:rsidRDefault="00781D4E">
          <w:pPr>
            <w:pStyle w:val="TOC2"/>
            <w:tabs>
              <w:tab w:val="right" w:leader="dot" w:pos="9782"/>
            </w:tabs>
            <w:rPr>
              <w:rFonts w:asciiTheme="minorHAnsi" w:eastAsiaTheme="minorEastAsia" w:hAnsiTheme="minorHAnsi"/>
              <w:noProof/>
              <w:kern w:val="2"/>
              <w:szCs w:val="24"/>
              <w14:ligatures w14:val="standardContextual"/>
            </w:rPr>
          </w:pPr>
          <w:hyperlink w:anchor="_Toc240631034" w:history="1">
            <w:r w:rsidRPr="00C22B2D">
              <w:rPr>
                <w:rStyle w:val="Hyperlink"/>
                <w:noProof/>
              </w:rPr>
              <w:t>3. Synchronous vs asynchronous communication</w:t>
            </w:r>
            <w:r>
              <w:rPr>
                <w:noProof/>
                <w:webHidden/>
              </w:rPr>
              <w:tab/>
            </w:r>
            <w:r>
              <w:rPr>
                <w:noProof/>
                <w:webHidden/>
              </w:rPr>
              <w:fldChar w:fldCharType="begin"/>
            </w:r>
            <w:r>
              <w:rPr>
                <w:noProof/>
                <w:webHidden/>
              </w:rPr>
              <w:instrText xml:space="preserve"> PAGEREF _Toc240631034 \h </w:instrText>
            </w:r>
            <w:r>
              <w:rPr>
                <w:noProof/>
                <w:webHidden/>
              </w:rPr>
            </w:r>
            <w:r>
              <w:rPr>
                <w:noProof/>
                <w:webHidden/>
              </w:rPr>
              <w:fldChar w:fldCharType="separate"/>
            </w:r>
            <w:r>
              <w:rPr>
                <w:noProof/>
                <w:webHidden/>
              </w:rPr>
              <w:t>5</w:t>
            </w:r>
            <w:r>
              <w:rPr>
                <w:noProof/>
                <w:webHidden/>
              </w:rPr>
              <w:fldChar w:fldCharType="end"/>
            </w:r>
          </w:hyperlink>
        </w:p>
        <w:p w14:paraId="50449AAF" w14:textId="22A8C158"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35" w:history="1">
            <w:r w:rsidRPr="00C22B2D">
              <w:rPr>
                <w:rStyle w:val="Hyperlink"/>
                <w:noProof/>
              </w:rPr>
              <w:t>Synchronous communication</w:t>
            </w:r>
            <w:r>
              <w:rPr>
                <w:noProof/>
                <w:webHidden/>
              </w:rPr>
              <w:tab/>
            </w:r>
            <w:r>
              <w:rPr>
                <w:noProof/>
                <w:webHidden/>
              </w:rPr>
              <w:fldChar w:fldCharType="begin"/>
            </w:r>
            <w:r>
              <w:rPr>
                <w:noProof/>
                <w:webHidden/>
              </w:rPr>
              <w:instrText xml:space="preserve"> PAGEREF _Toc240631035 \h </w:instrText>
            </w:r>
            <w:r>
              <w:rPr>
                <w:noProof/>
                <w:webHidden/>
              </w:rPr>
            </w:r>
            <w:r>
              <w:rPr>
                <w:noProof/>
                <w:webHidden/>
              </w:rPr>
              <w:fldChar w:fldCharType="separate"/>
            </w:r>
            <w:r>
              <w:rPr>
                <w:noProof/>
                <w:webHidden/>
              </w:rPr>
              <w:t>5</w:t>
            </w:r>
            <w:r>
              <w:rPr>
                <w:noProof/>
                <w:webHidden/>
              </w:rPr>
              <w:fldChar w:fldCharType="end"/>
            </w:r>
          </w:hyperlink>
        </w:p>
        <w:p w14:paraId="72EEFE71" w14:textId="1CAEA7FA"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36" w:history="1">
            <w:r w:rsidRPr="00C22B2D">
              <w:rPr>
                <w:rStyle w:val="Hyperlink"/>
                <w:noProof/>
              </w:rPr>
              <w:t>Asynchronous / event-driven communication</w:t>
            </w:r>
            <w:r>
              <w:rPr>
                <w:noProof/>
                <w:webHidden/>
              </w:rPr>
              <w:tab/>
            </w:r>
            <w:r>
              <w:rPr>
                <w:noProof/>
                <w:webHidden/>
              </w:rPr>
              <w:fldChar w:fldCharType="begin"/>
            </w:r>
            <w:r>
              <w:rPr>
                <w:noProof/>
                <w:webHidden/>
              </w:rPr>
              <w:instrText xml:space="preserve"> PAGEREF _Toc240631036 \h </w:instrText>
            </w:r>
            <w:r>
              <w:rPr>
                <w:noProof/>
                <w:webHidden/>
              </w:rPr>
            </w:r>
            <w:r>
              <w:rPr>
                <w:noProof/>
                <w:webHidden/>
              </w:rPr>
              <w:fldChar w:fldCharType="separate"/>
            </w:r>
            <w:r>
              <w:rPr>
                <w:noProof/>
                <w:webHidden/>
              </w:rPr>
              <w:t>6</w:t>
            </w:r>
            <w:r>
              <w:rPr>
                <w:noProof/>
                <w:webHidden/>
              </w:rPr>
              <w:fldChar w:fldCharType="end"/>
            </w:r>
          </w:hyperlink>
        </w:p>
        <w:p w14:paraId="55A43135" w14:textId="013B30C8"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37" w:history="1">
            <w:r w:rsidRPr="00C22B2D">
              <w:rPr>
                <w:rStyle w:val="Hyperlink"/>
                <w:noProof/>
              </w:rPr>
              <w:t>Commands vs events</w:t>
            </w:r>
            <w:r>
              <w:rPr>
                <w:noProof/>
                <w:webHidden/>
              </w:rPr>
              <w:tab/>
            </w:r>
            <w:r>
              <w:rPr>
                <w:noProof/>
                <w:webHidden/>
              </w:rPr>
              <w:fldChar w:fldCharType="begin"/>
            </w:r>
            <w:r>
              <w:rPr>
                <w:noProof/>
                <w:webHidden/>
              </w:rPr>
              <w:instrText xml:space="preserve"> PAGEREF _Toc240631037 \h </w:instrText>
            </w:r>
            <w:r>
              <w:rPr>
                <w:noProof/>
                <w:webHidden/>
              </w:rPr>
            </w:r>
            <w:r>
              <w:rPr>
                <w:noProof/>
                <w:webHidden/>
              </w:rPr>
              <w:fldChar w:fldCharType="separate"/>
            </w:r>
            <w:r>
              <w:rPr>
                <w:noProof/>
                <w:webHidden/>
              </w:rPr>
              <w:t>6</w:t>
            </w:r>
            <w:r>
              <w:rPr>
                <w:noProof/>
                <w:webHidden/>
              </w:rPr>
              <w:fldChar w:fldCharType="end"/>
            </w:r>
          </w:hyperlink>
        </w:p>
        <w:p w14:paraId="17009759" w14:textId="4811A0E3" w:rsidR="00781D4E" w:rsidRDefault="00781D4E">
          <w:pPr>
            <w:pStyle w:val="TOC2"/>
            <w:tabs>
              <w:tab w:val="right" w:leader="dot" w:pos="9782"/>
            </w:tabs>
            <w:rPr>
              <w:rFonts w:asciiTheme="minorHAnsi" w:eastAsiaTheme="minorEastAsia" w:hAnsiTheme="minorHAnsi"/>
              <w:noProof/>
              <w:kern w:val="2"/>
              <w:szCs w:val="24"/>
              <w14:ligatures w14:val="standardContextual"/>
            </w:rPr>
          </w:pPr>
          <w:hyperlink w:anchor="_Toc240631038" w:history="1">
            <w:r w:rsidRPr="00C22B2D">
              <w:rPr>
                <w:rStyle w:val="Hyperlink"/>
                <w:noProof/>
              </w:rPr>
              <w:t>4. Reliability: networks fail</w:t>
            </w:r>
            <w:r>
              <w:rPr>
                <w:noProof/>
                <w:webHidden/>
              </w:rPr>
              <w:tab/>
            </w:r>
            <w:r>
              <w:rPr>
                <w:noProof/>
                <w:webHidden/>
              </w:rPr>
              <w:fldChar w:fldCharType="begin"/>
            </w:r>
            <w:r>
              <w:rPr>
                <w:noProof/>
                <w:webHidden/>
              </w:rPr>
              <w:instrText xml:space="preserve"> PAGEREF _Toc240631038 \h </w:instrText>
            </w:r>
            <w:r>
              <w:rPr>
                <w:noProof/>
                <w:webHidden/>
              </w:rPr>
            </w:r>
            <w:r>
              <w:rPr>
                <w:noProof/>
                <w:webHidden/>
              </w:rPr>
              <w:fldChar w:fldCharType="separate"/>
            </w:r>
            <w:r>
              <w:rPr>
                <w:noProof/>
                <w:webHidden/>
              </w:rPr>
              <w:t>6</w:t>
            </w:r>
            <w:r>
              <w:rPr>
                <w:noProof/>
                <w:webHidden/>
              </w:rPr>
              <w:fldChar w:fldCharType="end"/>
            </w:r>
          </w:hyperlink>
        </w:p>
        <w:p w14:paraId="0CBAE3B0" w14:textId="6AD2D371"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39" w:history="1">
            <w:r w:rsidRPr="00C22B2D">
              <w:rPr>
                <w:rStyle w:val="Hyperlink"/>
                <w:noProof/>
              </w:rPr>
              <w:t>Idempotency</w:t>
            </w:r>
            <w:r>
              <w:rPr>
                <w:noProof/>
                <w:webHidden/>
              </w:rPr>
              <w:tab/>
            </w:r>
            <w:r>
              <w:rPr>
                <w:noProof/>
                <w:webHidden/>
              </w:rPr>
              <w:fldChar w:fldCharType="begin"/>
            </w:r>
            <w:r>
              <w:rPr>
                <w:noProof/>
                <w:webHidden/>
              </w:rPr>
              <w:instrText xml:space="preserve"> PAGEREF _Toc240631039 \h </w:instrText>
            </w:r>
            <w:r>
              <w:rPr>
                <w:noProof/>
                <w:webHidden/>
              </w:rPr>
            </w:r>
            <w:r>
              <w:rPr>
                <w:noProof/>
                <w:webHidden/>
              </w:rPr>
              <w:fldChar w:fldCharType="separate"/>
            </w:r>
            <w:r>
              <w:rPr>
                <w:noProof/>
                <w:webHidden/>
              </w:rPr>
              <w:t>6</w:t>
            </w:r>
            <w:r>
              <w:rPr>
                <w:noProof/>
                <w:webHidden/>
              </w:rPr>
              <w:fldChar w:fldCharType="end"/>
            </w:r>
          </w:hyperlink>
        </w:p>
        <w:p w14:paraId="78BD8CCF" w14:textId="5837F35D"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40" w:history="1">
            <w:r w:rsidRPr="00C22B2D">
              <w:rPr>
                <w:rStyle w:val="Hyperlink"/>
                <w:noProof/>
              </w:rPr>
              <w:t>Retries, exponential backoff, and jitter</w:t>
            </w:r>
            <w:r>
              <w:rPr>
                <w:noProof/>
                <w:webHidden/>
              </w:rPr>
              <w:tab/>
            </w:r>
            <w:r>
              <w:rPr>
                <w:noProof/>
                <w:webHidden/>
              </w:rPr>
              <w:fldChar w:fldCharType="begin"/>
            </w:r>
            <w:r>
              <w:rPr>
                <w:noProof/>
                <w:webHidden/>
              </w:rPr>
              <w:instrText xml:space="preserve"> PAGEREF _Toc240631040 \h </w:instrText>
            </w:r>
            <w:r>
              <w:rPr>
                <w:noProof/>
                <w:webHidden/>
              </w:rPr>
            </w:r>
            <w:r>
              <w:rPr>
                <w:noProof/>
                <w:webHidden/>
              </w:rPr>
              <w:fldChar w:fldCharType="separate"/>
            </w:r>
            <w:r>
              <w:rPr>
                <w:noProof/>
                <w:webHidden/>
              </w:rPr>
              <w:t>7</w:t>
            </w:r>
            <w:r>
              <w:rPr>
                <w:noProof/>
                <w:webHidden/>
              </w:rPr>
              <w:fldChar w:fldCharType="end"/>
            </w:r>
          </w:hyperlink>
        </w:p>
        <w:p w14:paraId="1ACFD20B" w14:textId="4D413957" w:rsidR="00781D4E" w:rsidRDefault="00781D4E">
          <w:pPr>
            <w:pStyle w:val="TOC2"/>
            <w:tabs>
              <w:tab w:val="right" w:leader="dot" w:pos="9782"/>
            </w:tabs>
            <w:rPr>
              <w:rFonts w:asciiTheme="minorHAnsi" w:eastAsiaTheme="minorEastAsia" w:hAnsiTheme="minorHAnsi"/>
              <w:noProof/>
              <w:kern w:val="2"/>
              <w:szCs w:val="24"/>
              <w14:ligatures w14:val="standardContextual"/>
            </w:rPr>
          </w:pPr>
          <w:hyperlink w:anchor="_Toc240631041" w:history="1">
            <w:r w:rsidRPr="00C22B2D">
              <w:rPr>
                <w:rStyle w:val="Hyperlink"/>
                <w:noProof/>
              </w:rPr>
              <w:t>5. Financial backend discipline</w:t>
            </w:r>
            <w:r>
              <w:rPr>
                <w:noProof/>
                <w:webHidden/>
              </w:rPr>
              <w:tab/>
            </w:r>
            <w:r>
              <w:rPr>
                <w:noProof/>
                <w:webHidden/>
              </w:rPr>
              <w:fldChar w:fldCharType="begin"/>
            </w:r>
            <w:r>
              <w:rPr>
                <w:noProof/>
                <w:webHidden/>
              </w:rPr>
              <w:instrText xml:space="preserve"> PAGEREF _Toc240631041 \h </w:instrText>
            </w:r>
            <w:r>
              <w:rPr>
                <w:noProof/>
                <w:webHidden/>
              </w:rPr>
            </w:r>
            <w:r>
              <w:rPr>
                <w:noProof/>
                <w:webHidden/>
              </w:rPr>
              <w:fldChar w:fldCharType="separate"/>
            </w:r>
            <w:r>
              <w:rPr>
                <w:noProof/>
                <w:webHidden/>
              </w:rPr>
              <w:t>8</w:t>
            </w:r>
            <w:r>
              <w:rPr>
                <w:noProof/>
                <w:webHidden/>
              </w:rPr>
              <w:fldChar w:fldCharType="end"/>
            </w:r>
          </w:hyperlink>
        </w:p>
        <w:p w14:paraId="31B9B8C1" w14:textId="21376273"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42" w:history="1">
            <w:r w:rsidRPr="00C22B2D">
              <w:rPr>
                <w:rStyle w:val="Hyperlink"/>
                <w:noProof/>
              </w:rPr>
              <w:t>State machines</w:t>
            </w:r>
            <w:r>
              <w:rPr>
                <w:noProof/>
                <w:webHidden/>
              </w:rPr>
              <w:tab/>
            </w:r>
            <w:r>
              <w:rPr>
                <w:noProof/>
                <w:webHidden/>
              </w:rPr>
              <w:fldChar w:fldCharType="begin"/>
            </w:r>
            <w:r>
              <w:rPr>
                <w:noProof/>
                <w:webHidden/>
              </w:rPr>
              <w:instrText xml:space="preserve"> PAGEREF _Toc240631042 \h </w:instrText>
            </w:r>
            <w:r>
              <w:rPr>
                <w:noProof/>
                <w:webHidden/>
              </w:rPr>
            </w:r>
            <w:r>
              <w:rPr>
                <w:noProof/>
                <w:webHidden/>
              </w:rPr>
              <w:fldChar w:fldCharType="separate"/>
            </w:r>
            <w:r>
              <w:rPr>
                <w:noProof/>
                <w:webHidden/>
              </w:rPr>
              <w:t>8</w:t>
            </w:r>
            <w:r>
              <w:rPr>
                <w:noProof/>
                <w:webHidden/>
              </w:rPr>
              <w:fldChar w:fldCharType="end"/>
            </w:r>
          </w:hyperlink>
        </w:p>
        <w:p w14:paraId="3CF185E7" w14:textId="00C4208F"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43" w:history="1">
            <w:r w:rsidRPr="00C22B2D">
              <w:rPr>
                <w:rStyle w:val="Hyperlink"/>
                <w:noProof/>
              </w:rPr>
              <w:t>Auditability and immutable history</w:t>
            </w:r>
            <w:r>
              <w:rPr>
                <w:noProof/>
                <w:webHidden/>
              </w:rPr>
              <w:tab/>
            </w:r>
            <w:r>
              <w:rPr>
                <w:noProof/>
                <w:webHidden/>
              </w:rPr>
              <w:fldChar w:fldCharType="begin"/>
            </w:r>
            <w:r>
              <w:rPr>
                <w:noProof/>
                <w:webHidden/>
              </w:rPr>
              <w:instrText xml:space="preserve"> PAGEREF _Toc240631043 \h </w:instrText>
            </w:r>
            <w:r>
              <w:rPr>
                <w:noProof/>
                <w:webHidden/>
              </w:rPr>
            </w:r>
            <w:r>
              <w:rPr>
                <w:noProof/>
                <w:webHidden/>
              </w:rPr>
              <w:fldChar w:fldCharType="separate"/>
            </w:r>
            <w:r>
              <w:rPr>
                <w:noProof/>
                <w:webHidden/>
              </w:rPr>
              <w:t>8</w:t>
            </w:r>
            <w:r>
              <w:rPr>
                <w:noProof/>
                <w:webHidden/>
              </w:rPr>
              <w:fldChar w:fldCharType="end"/>
            </w:r>
          </w:hyperlink>
        </w:p>
        <w:p w14:paraId="18AAB4D4" w14:textId="4D2302FA" w:rsidR="00781D4E" w:rsidRDefault="00781D4E">
          <w:pPr>
            <w:pStyle w:val="TOC3"/>
            <w:tabs>
              <w:tab w:val="right" w:leader="dot" w:pos="9782"/>
            </w:tabs>
            <w:rPr>
              <w:rFonts w:asciiTheme="minorHAnsi" w:eastAsiaTheme="minorEastAsia" w:hAnsiTheme="minorHAnsi"/>
              <w:noProof/>
              <w:kern w:val="2"/>
              <w:szCs w:val="24"/>
              <w14:ligatures w14:val="standardContextual"/>
            </w:rPr>
          </w:pPr>
          <w:hyperlink w:anchor="_Toc240631044" w:history="1">
            <w:r w:rsidRPr="00C22B2D">
              <w:rPr>
                <w:rStyle w:val="Hyperlink"/>
                <w:noProof/>
              </w:rPr>
              <w:t>Reconciliation</w:t>
            </w:r>
            <w:r>
              <w:rPr>
                <w:noProof/>
                <w:webHidden/>
              </w:rPr>
              <w:tab/>
            </w:r>
            <w:r>
              <w:rPr>
                <w:noProof/>
                <w:webHidden/>
              </w:rPr>
              <w:fldChar w:fldCharType="begin"/>
            </w:r>
            <w:r>
              <w:rPr>
                <w:noProof/>
                <w:webHidden/>
              </w:rPr>
              <w:instrText xml:space="preserve"> PAGEREF _Toc240631044 \h </w:instrText>
            </w:r>
            <w:r>
              <w:rPr>
                <w:noProof/>
                <w:webHidden/>
              </w:rPr>
            </w:r>
            <w:r>
              <w:rPr>
                <w:noProof/>
                <w:webHidden/>
              </w:rPr>
              <w:fldChar w:fldCharType="separate"/>
            </w:r>
            <w:r>
              <w:rPr>
                <w:noProof/>
                <w:webHidden/>
              </w:rPr>
              <w:t>9</w:t>
            </w:r>
            <w:r>
              <w:rPr>
                <w:noProof/>
                <w:webHidden/>
              </w:rPr>
              <w:fldChar w:fldCharType="end"/>
            </w:r>
          </w:hyperlink>
        </w:p>
        <w:p w14:paraId="67E7EE8C" w14:textId="5C7FF8D7" w:rsidR="00781D4E" w:rsidRDefault="00781D4E">
          <w:pPr>
            <w:pStyle w:val="TOC2"/>
            <w:tabs>
              <w:tab w:val="right" w:leader="dot" w:pos="9782"/>
            </w:tabs>
            <w:rPr>
              <w:rFonts w:asciiTheme="minorHAnsi" w:eastAsiaTheme="minorEastAsia" w:hAnsiTheme="minorHAnsi"/>
              <w:noProof/>
              <w:kern w:val="2"/>
              <w:szCs w:val="24"/>
              <w14:ligatures w14:val="standardContextual"/>
            </w:rPr>
          </w:pPr>
          <w:hyperlink w:anchor="_Toc240631045" w:history="1">
            <w:r w:rsidRPr="00C22B2D">
              <w:rPr>
                <w:rStyle w:val="Hyperlink"/>
                <w:noProof/>
              </w:rPr>
              <w:t>6. section vocabulary</w:t>
            </w:r>
            <w:r>
              <w:rPr>
                <w:noProof/>
                <w:webHidden/>
              </w:rPr>
              <w:tab/>
            </w:r>
            <w:r>
              <w:rPr>
                <w:noProof/>
                <w:webHidden/>
              </w:rPr>
              <w:fldChar w:fldCharType="begin"/>
            </w:r>
            <w:r>
              <w:rPr>
                <w:noProof/>
                <w:webHidden/>
              </w:rPr>
              <w:instrText xml:space="preserve"> PAGEREF _Toc240631045 \h </w:instrText>
            </w:r>
            <w:r>
              <w:rPr>
                <w:noProof/>
                <w:webHidden/>
              </w:rPr>
            </w:r>
            <w:r>
              <w:rPr>
                <w:noProof/>
                <w:webHidden/>
              </w:rPr>
              <w:fldChar w:fldCharType="separate"/>
            </w:r>
            <w:r>
              <w:rPr>
                <w:noProof/>
                <w:webHidden/>
              </w:rPr>
              <w:t>9</w:t>
            </w:r>
            <w:r>
              <w:rPr>
                <w:noProof/>
                <w:webHidden/>
              </w:rPr>
              <w:fldChar w:fldCharType="end"/>
            </w:r>
          </w:hyperlink>
        </w:p>
        <w:p w14:paraId="280BEF84" w14:textId="47B76047" w:rsidR="00E16861" w:rsidRDefault="00E16861">
          <w:r>
            <w:rPr>
              <w:b/>
              <w:bCs/>
              <w:noProof/>
            </w:rPr>
            <w:fldChar w:fldCharType="end"/>
          </w:r>
        </w:p>
      </w:sdtContent>
    </w:sdt>
    <w:p w14:paraId="03DEFC7C" w14:textId="77777777" w:rsidR="00E16861" w:rsidRPr="00E16861" w:rsidRDefault="00E16861" w:rsidP="00E16861">
      <w:pPr>
        <w:spacing w:after="160"/>
        <w:jc w:val="center"/>
        <w:rPr>
          <w:b/>
          <w:sz w:val="40"/>
          <w:szCs w:val="36"/>
        </w:rPr>
      </w:pPr>
    </w:p>
    <w:p w14:paraId="3A94B5E2" w14:textId="77777777" w:rsidR="000A7066" w:rsidRDefault="000A7066"/>
    <w:p w14:paraId="44261DFD" w14:textId="53E9390F" w:rsidR="000A7066" w:rsidRDefault="00000000">
      <w:r>
        <w:br w:type="page"/>
      </w:r>
    </w:p>
    <w:p w14:paraId="055947F5" w14:textId="50B50EF7" w:rsidR="000A7066" w:rsidRDefault="00000000" w:rsidP="00E16861">
      <w:pPr>
        <w:pStyle w:val="Heading1"/>
      </w:pPr>
      <w:bookmarkStart w:id="0" w:name="_Toc240631027"/>
      <w:r>
        <w:lastRenderedPageBreak/>
        <w:t>BACKEND ARCHITECTURE FUNDAMENTALS</w:t>
      </w:r>
      <w:bookmarkEnd w:id="0"/>
    </w:p>
    <w:p w14:paraId="4D2A3BB3" w14:textId="77777777" w:rsidR="000A7066" w:rsidRDefault="00000000">
      <w:r>
        <w:t>Goal: understand how backend systems are divided, how services communicate, who owns data, and how financial systems remain correct when networks and dependencies fail.</w:t>
      </w:r>
    </w:p>
    <w:tbl>
      <w:tblPr>
        <w:tblW w:w="0" w:type="auto"/>
        <w:jc w:val="center"/>
        <w:tblLook w:val="04A0" w:firstRow="1" w:lastRow="0" w:firstColumn="1" w:lastColumn="0" w:noHBand="0" w:noVBand="1"/>
      </w:tblPr>
      <w:tblGrid>
        <w:gridCol w:w="9792"/>
      </w:tblGrid>
      <w:tr w:rsidR="000A7066" w14:paraId="240DAE60" w14:textId="77777777">
        <w:trPr>
          <w:jc w:val="center"/>
        </w:trPr>
        <w:tc>
          <w:tcPr>
            <w:tcW w:w="9792" w:type="dxa"/>
            <w:shd w:val="clear" w:color="auto" w:fill="F3F3F3"/>
            <w:tcMar>
              <w:top w:w="120" w:type="dxa"/>
              <w:left w:w="160" w:type="dxa"/>
              <w:bottom w:w="120" w:type="dxa"/>
              <w:right w:w="160" w:type="dxa"/>
            </w:tcMar>
          </w:tcPr>
          <w:p w14:paraId="6841169F" w14:textId="77777777" w:rsidR="000A7066" w:rsidRDefault="00000000">
            <w:pPr>
              <w:spacing w:after="0"/>
            </w:pPr>
            <w:r>
              <w:rPr>
                <w:b/>
                <w:color w:val="A61B1B"/>
              </w:rPr>
              <w:t xml:space="preserve">VERY IMPORTANT: </w:t>
            </w:r>
            <w:r>
              <w:rPr>
                <w:color w:val="A61B1B"/>
              </w:rPr>
              <w:t>Architecture is not about choosing the most complicated design. Use the simplest architecture that satisfies the real requirements.</w:t>
            </w:r>
          </w:p>
        </w:tc>
      </w:tr>
    </w:tbl>
    <w:p w14:paraId="3BE75FD5" w14:textId="77777777" w:rsidR="000A7066" w:rsidRDefault="000A7066">
      <w:pPr>
        <w:spacing w:after="0"/>
      </w:pPr>
    </w:p>
    <w:p w14:paraId="365448BE" w14:textId="77777777" w:rsidR="000A7066" w:rsidRDefault="00000000" w:rsidP="00E16861">
      <w:pPr>
        <w:pStyle w:val="Heading2"/>
      </w:pPr>
      <w:bookmarkStart w:id="1" w:name="_Toc240631028"/>
      <w:r>
        <w:t>1. Architecture models</w:t>
      </w:r>
      <w:bookmarkEnd w:id="1"/>
    </w:p>
    <w:p w14:paraId="5A777D1C" w14:textId="77777777" w:rsidR="000A7066" w:rsidRDefault="00000000">
      <w:r>
        <w:t>A backend architecture mainly defines deployment boundaries, responsibility boundaries, communication paths, data ownership, and failure boundaries.</w:t>
      </w:r>
    </w:p>
    <w:p w14:paraId="35077E14" w14:textId="77777777" w:rsidR="000A7066" w:rsidRDefault="00000000">
      <w:r>
        <w:rPr>
          <w:noProof/>
        </w:rPr>
        <w:drawing>
          <wp:inline distT="0" distB="0" distL="0" distR="0" wp14:anchorId="78242B55" wp14:editId="1E9F5364">
            <wp:extent cx="5989320" cy="2841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models.png"/>
                    <pic:cNvPicPr/>
                  </pic:nvPicPr>
                  <pic:blipFill>
                    <a:blip r:embed="rId8"/>
                    <a:stretch>
                      <a:fillRect/>
                    </a:stretch>
                  </pic:blipFill>
                  <pic:spPr>
                    <a:xfrm>
                      <a:off x="0" y="0"/>
                      <a:ext cx="5989320" cy="2841969"/>
                    </a:xfrm>
                    <a:prstGeom prst="rect">
                      <a:avLst/>
                    </a:prstGeom>
                  </pic:spPr>
                </pic:pic>
              </a:graphicData>
            </a:graphic>
          </wp:inline>
        </w:drawing>
      </w:r>
    </w:p>
    <w:p w14:paraId="7B7C961C" w14:textId="77777777" w:rsidR="000A7066" w:rsidRDefault="00000000">
      <w:pPr>
        <w:jc w:val="center"/>
      </w:pPr>
      <w:r>
        <w:rPr>
          <w:i/>
          <w:color w:val="555555"/>
        </w:rPr>
        <w:t>Figure 1. From monolith to microservices: independence increases together with operational complexity.</w:t>
      </w:r>
    </w:p>
    <w:p w14:paraId="7597AFFF" w14:textId="77777777" w:rsidR="000A7066" w:rsidRDefault="00000000" w:rsidP="00E16861">
      <w:pPr>
        <w:pStyle w:val="Heading3"/>
      </w:pPr>
      <w:bookmarkStart w:id="2" w:name="_Toc240631029"/>
      <w:r>
        <w:t>Monolith</w:t>
      </w:r>
      <w:bookmarkEnd w:id="2"/>
    </w:p>
    <w:p w14:paraId="5747C558" w14:textId="77777777" w:rsidR="000A7066" w:rsidRDefault="00000000">
      <w:pPr>
        <w:pStyle w:val="ListBullet"/>
        <w:spacing w:after="40"/>
      </w:pPr>
      <w:r>
        <w:t>One application and usually one deployment unit.</w:t>
      </w:r>
    </w:p>
    <w:p w14:paraId="776A969C" w14:textId="77777777" w:rsidR="000A7066" w:rsidRDefault="00000000">
      <w:pPr>
        <w:pStyle w:val="ListBullet"/>
        <w:spacing w:after="40"/>
      </w:pPr>
      <w:r>
        <w:t>Simple local development, debugging, testing, and database transactions.</w:t>
      </w:r>
    </w:p>
    <w:p w14:paraId="4F20D01D" w14:textId="77777777" w:rsidR="000A7066" w:rsidRDefault="00000000">
      <w:pPr>
        <w:pStyle w:val="ListBullet"/>
        <w:spacing w:after="40"/>
      </w:pPr>
      <w:r>
        <w:t>Often a strong choice for a small team or early product.</w:t>
      </w:r>
    </w:p>
    <w:p w14:paraId="38DCC2AD" w14:textId="77777777" w:rsidR="000A7066" w:rsidRDefault="00000000">
      <w:pPr>
        <w:pStyle w:val="ListBullet"/>
        <w:spacing w:after="40"/>
      </w:pPr>
      <w:r>
        <w:t>The real danger is not "one codebase"; it is uncontrolled coupling between unrelated responsibilities.</w:t>
      </w:r>
    </w:p>
    <w:p w14:paraId="08252E09" w14:textId="77777777" w:rsidR="000A7066" w:rsidRDefault="00000000" w:rsidP="00E16861">
      <w:pPr>
        <w:pStyle w:val="Heading3"/>
      </w:pPr>
      <w:bookmarkStart w:id="3" w:name="_Toc240631030"/>
      <w:r>
        <w:t>Modular monolith</w:t>
      </w:r>
      <w:bookmarkEnd w:id="3"/>
    </w:p>
    <w:p w14:paraId="1563B1D0" w14:textId="77777777" w:rsidR="000A7066" w:rsidRDefault="00000000">
      <w:r>
        <w:t>A modular monolith is still one deployable application, but the internal modules have explicit boundaries. Each module owns its logic and exposes a controlled interface to other modules.</w:t>
      </w:r>
    </w:p>
    <w:tbl>
      <w:tblPr>
        <w:tblW w:w="0" w:type="auto"/>
        <w:jc w:val="center"/>
        <w:tblLook w:val="04A0" w:firstRow="1" w:lastRow="0" w:firstColumn="1" w:lastColumn="0" w:noHBand="0" w:noVBand="1"/>
      </w:tblPr>
      <w:tblGrid>
        <w:gridCol w:w="9792"/>
      </w:tblGrid>
      <w:tr w:rsidR="000A7066" w14:paraId="7546FC8C" w14:textId="77777777">
        <w:trPr>
          <w:jc w:val="center"/>
        </w:trPr>
        <w:tc>
          <w:tcPr>
            <w:tcW w:w="9792" w:type="dxa"/>
            <w:shd w:val="clear" w:color="auto" w:fill="F3F3F3"/>
            <w:tcMar>
              <w:top w:w="120" w:type="dxa"/>
              <w:left w:w="160" w:type="dxa"/>
              <w:bottom w:w="120" w:type="dxa"/>
              <w:right w:w="160" w:type="dxa"/>
            </w:tcMar>
          </w:tcPr>
          <w:p w14:paraId="2CA9484A" w14:textId="77777777" w:rsidR="000A7066" w:rsidRDefault="00000000">
            <w:pPr>
              <w:spacing w:after="0"/>
            </w:pPr>
            <w:r>
              <w:rPr>
                <w:b/>
                <w:color w:val="A61B1B"/>
              </w:rPr>
              <w:t xml:space="preserve">KEY IDEA: </w:t>
            </w:r>
            <w:r>
              <w:rPr>
                <w:color w:val="A61B1B"/>
              </w:rPr>
              <w:t>A modular monolith can be a deliberate professional architecture, not merely a temporary step before microservices.</w:t>
            </w:r>
          </w:p>
        </w:tc>
      </w:tr>
    </w:tbl>
    <w:p w14:paraId="3F537381" w14:textId="77777777" w:rsidR="000A7066" w:rsidRDefault="000A7066">
      <w:pPr>
        <w:spacing w:after="0"/>
      </w:pPr>
    </w:p>
    <w:p w14:paraId="7F830462" w14:textId="77777777" w:rsidR="000A7066" w:rsidRDefault="00000000" w:rsidP="00E16861">
      <w:pPr>
        <w:pStyle w:val="Heading2"/>
      </w:pPr>
      <w:bookmarkStart w:id="4" w:name="_Toc240631031"/>
      <w:r>
        <w:lastRenderedPageBreak/>
        <w:t>2. Microservices, service boundaries, and data ownership</w:t>
      </w:r>
      <w:bookmarkEnd w:id="4"/>
    </w:p>
    <w:p w14:paraId="604C32B7" w14:textId="77777777" w:rsidR="000A7066" w:rsidRDefault="00000000">
      <w:r>
        <w:t>Microservices divide a system into independently deployable services centered on business capabilities. The point is not to make services tiny; the point is to create useful boundaries around domains such as Wallet, Settlement, Routing, KYT, Treasury, and Notification.</w:t>
      </w:r>
    </w:p>
    <w:tbl>
      <w:tblPr>
        <w:tblStyle w:val="TableGrid"/>
        <w:tblW w:w="0" w:type="auto"/>
        <w:jc w:val="center"/>
        <w:tblLook w:val="04A0" w:firstRow="1" w:lastRow="0" w:firstColumn="1" w:lastColumn="0" w:noHBand="0" w:noVBand="1"/>
      </w:tblPr>
      <w:tblGrid>
        <w:gridCol w:w="4896"/>
        <w:gridCol w:w="4896"/>
      </w:tblGrid>
      <w:tr w:rsidR="000A7066" w14:paraId="4B4C0AC1" w14:textId="77777777">
        <w:trPr>
          <w:jc w:val="center"/>
        </w:trPr>
        <w:tc>
          <w:tcPr>
            <w:tcW w:w="4896" w:type="dxa"/>
            <w:shd w:val="clear" w:color="auto" w:fill="D9E1F2"/>
            <w:tcMar>
              <w:top w:w="85" w:type="dxa"/>
              <w:left w:w="110" w:type="dxa"/>
              <w:bottom w:w="85" w:type="dxa"/>
              <w:right w:w="110" w:type="dxa"/>
            </w:tcMar>
            <w:vAlign w:val="center"/>
          </w:tcPr>
          <w:p w14:paraId="66426DEB" w14:textId="77777777" w:rsidR="000A7066" w:rsidRDefault="00000000">
            <w:pPr>
              <w:spacing w:after="0"/>
            </w:pPr>
            <w:r>
              <w:rPr>
                <w:b/>
              </w:rPr>
              <w:t>Good service boundary</w:t>
            </w:r>
          </w:p>
        </w:tc>
        <w:tc>
          <w:tcPr>
            <w:tcW w:w="4896" w:type="dxa"/>
            <w:shd w:val="clear" w:color="auto" w:fill="D9E1F2"/>
            <w:tcMar>
              <w:top w:w="85" w:type="dxa"/>
              <w:left w:w="110" w:type="dxa"/>
              <w:bottom w:w="85" w:type="dxa"/>
              <w:right w:w="110" w:type="dxa"/>
            </w:tcMar>
            <w:vAlign w:val="center"/>
          </w:tcPr>
          <w:p w14:paraId="1D7FCF9A" w14:textId="77777777" w:rsidR="000A7066" w:rsidRDefault="00000000">
            <w:pPr>
              <w:spacing w:after="0"/>
            </w:pPr>
            <w:r>
              <w:rPr>
                <w:b/>
              </w:rPr>
              <w:t>Why it works</w:t>
            </w:r>
          </w:p>
        </w:tc>
      </w:tr>
      <w:tr w:rsidR="000A7066" w14:paraId="704DCBE9" w14:textId="77777777">
        <w:trPr>
          <w:jc w:val="center"/>
        </w:trPr>
        <w:tc>
          <w:tcPr>
            <w:tcW w:w="4896" w:type="dxa"/>
            <w:tcMar>
              <w:top w:w="85" w:type="dxa"/>
              <w:left w:w="110" w:type="dxa"/>
              <w:bottom w:w="85" w:type="dxa"/>
              <w:right w:w="110" w:type="dxa"/>
            </w:tcMar>
            <w:vAlign w:val="center"/>
          </w:tcPr>
          <w:p w14:paraId="3F4576B7" w14:textId="77777777" w:rsidR="000A7066" w:rsidRDefault="00000000">
            <w:pPr>
              <w:spacing w:after="0"/>
            </w:pPr>
            <w:r>
              <w:t>KYT Service</w:t>
            </w:r>
          </w:p>
        </w:tc>
        <w:tc>
          <w:tcPr>
            <w:tcW w:w="4896" w:type="dxa"/>
            <w:tcMar>
              <w:top w:w="85" w:type="dxa"/>
              <w:left w:w="110" w:type="dxa"/>
              <w:bottom w:w="85" w:type="dxa"/>
              <w:right w:w="110" w:type="dxa"/>
            </w:tcMar>
            <w:vAlign w:val="center"/>
          </w:tcPr>
          <w:p w14:paraId="66E813D5" w14:textId="77777777" w:rsidR="000A7066" w:rsidRDefault="00000000">
            <w:pPr>
              <w:spacing w:after="0"/>
            </w:pPr>
            <w:r>
              <w:t>Owns risk scoring, rules, alerts, and risk data.</w:t>
            </w:r>
          </w:p>
        </w:tc>
      </w:tr>
      <w:tr w:rsidR="000A7066" w14:paraId="3B80BE69" w14:textId="77777777">
        <w:trPr>
          <w:jc w:val="center"/>
        </w:trPr>
        <w:tc>
          <w:tcPr>
            <w:tcW w:w="4896" w:type="dxa"/>
            <w:tcMar>
              <w:top w:w="85" w:type="dxa"/>
              <w:left w:w="110" w:type="dxa"/>
              <w:bottom w:w="85" w:type="dxa"/>
              <w:right w:w="110" w:type="dxa"/>
            </w:tcMar>
            <w:vAlign w:val="center"/>
          </w:tcPr>
          <w:p w14:paraId="73949B4F" w14:textId="77777777" w:rsidR="000A7066" w:rsidRDefault="00000000">
            <w:pPr>
              <w:spacing w:after="0"/>
            </w:pPr>
            <w:r>
              <w:t>Settlement Service</w:t>
            </w:r>
          </w:p>
        </w:tc>
        <w:tc>
          <w:tcPr>
            <w:tcW w:w="4896" w:type="dxa"/>
            <w:tcMar>
              <w:top w:w="85" w:type="dxa"/>
              <w:left w:w="110" w:type="dxa"/>
              <w:bottom w:w="85" w:type="dxa"/>
              <w:right w:w="110" w:type="dxa"/>
            </w:tcMar>
            <w:vAlign w:val="center"/>
          </w:tcPr>
          <w:p w14:paraId="271714AB" w14:textId="77777777" w:rsidR="000A7066" w:rsidRDefault="00000000">
            <w:pPr>
              <w:spacing w:after="0"/>
            </w:pPr>
            <w:r>
              <w:t>Owns settlement lifecycle and settlement state.</w:t>
            </w:r>
          </w:p>
        </w:tc>
      </w:tr>
      <w:tr w:rsidR="000A7066" w14:paraId="41A5029F" w14:textId="77777777">
        <w:trPr>
          <w:jc w:val="center"/>
        </w:trPr>
        <w:tc>
          <w:tcPr>
            <w:tcW w:w="4896" w:type="dxa"/>
            <w:tcMar>
              <w:top w:w="85" w:type="dxa"/>
              <w:left w:w="110" w:type="dxa"/>
              <w:bottom w:w="85" w:type="dxa"/>
              <w:right w:w="110" w:type="dxa"/>
            </w:tcMar>
            <w:vAlign w:val="center"/>
          </w:tcPr>
          <w:p w14:paraId="55159743" w14:textId="77777777" w:rsidR="000A7066" w:rsidRDefault="00000000">
            <w:pPr>
              <w:spacing w:after="0"/>
            </w:pPr>
            <w:r>
              <w:t>Wallet Service</w:t>
            </w:r>
          </w:p>
        </w:tc>
        <w:tc>
          <w:tcPr>
            <w:tcW w:w="4896" w:type="dxa"/>
            <w:tcMar>
              <w:top w:w="85" w:type="dxa"/>
              <w:left w:w="110" w:type="dxa"/>
              <w:bottom w:w="85" w:type="dxa"/>
              <w:right w:w="110" w:type="dxa"/>
            </w:tcMar>
            <w:vAlign w:val="center"/>
          </w:tcPr>
          <w:p w14:paraId="3858CC5E" w14:textId="77777777" w:rsidR="000A7066" w:rsidRDefault="00000000">
            <w:pPr>
              <w:spacing w:after="0"/>
            </w:pPr>
            <w:r>
              <w:t>Owns wallet-related behavior and wallet data.</w:t>
            </w:r>
          </w:p>
        </w:tc>
      </w:tr>
      <w:tr w:rsidR="000A7066" w14:paraId="3107F632" w14:textId="77777777">
        <w:trPr>
          <w:jc w:val="center"/>
        </w:trPr>
        <w:tc>
          <w:tcPr>
            <w:tcW w:w="4896" w:type="dxa"/>
            <w:tcMar>
              <w:top w:w="85" w:type="dxa"/>
              <w:left w:w="110" w:type="dxa"/>
              <w:bottom w:w="85" w:type="dxa"/>
              <w:right w:w="110" w:type="dxa"/>
            </w:tcMar>
            <w:vAlign w:val="center"/>
          </w:tcPr>
          <w:p w14:paraId="72626ABF" w14:textId="77777777" w:rsidR="000A7066" w:rsidRDefault="00000000">
            <w:pPr>
              <w:spacing w:after="0"/>
            </w:pPr>
            <w:r>
              <w:t>Routing Service</w:t>
            </w:r>
          </w:p>
        </w:tc>
        <w:tc>
          <w:tcPr>
            <w:tcW w:w="4896" w:type="dxa"/>
            <w:tcMar>
              <w:top w:w="85" w:type="dxa"/>
              <w:left w:w="110" w:type="dxa"/>
              <w:bottom w:w="85" w:type="dxa"/>
              <w:right w:w="110" w:type="dxa"/>
            </w:tcMar>
            <w:vAlign w:val="center"/>
          </w:tcPr>
          <w:p w14:paraId="44A60B2F" w14:textId="77777777" w:rsidR="000A7066" w:rsidRDefault="00000000">
            <w:pPr>
              <w:spacing w:after="0"/>
            </w:pPr>
            <w:r>
              <w:t>Owns provider selection and route execution policy.</w:t>
            </w:r>
          </w:p>
        </w:tc>
      </w:tr>
    </w:tbl>
    <w:p w14:paraId="78B18CB1" w14:textId="171059B8" w:rsidR="00C01BA3" w:rsidRPr="00A44470" w:rsidRDefault="00C01BA3" w:rsidP="00C01BA3">
      <w:pPr>
        <w:rPr>
          <w:color w:val="EE0000"/>
        </w:rPr>
      </w:pPr>
      <w:bookmarkStart w:id="5" w:name="_Toc240631032"/>
      <w:r w:rsidRPr="00A44470">
        <w:rPr>
          <w:color w:val="EE0000"/>
        </w:rPr>
        <w:t>Note: if using Kubernetes and docker, each service will be run inside a container (or multiple because usually we have replicas)</w:t>
      </w:r>
    </w:p>
    <w:p w14:paraId="197CBA20" w14:textId="2C2A9562" w:rsidR="000A7066" w:rsidRPr="00E16861" w:rsidRDefault="00000000" w:rsidP="00E16861">
      <w:pPr>
        <w:pStyle w:val="Heading3"/>
      </w:pPr>
      <w:r w:rsidRPr="00E16861">
        <w:t>High cohesion and loose coupling</w:t>
      </w:r>
      <w:bookmarkEnd w:id="5"/>
    </w:p>
    <w:p w14:paraId="60FD2EEC" w14:textId="77777777" w:rsidR="000A7066" w:rsidRDefault="00000000">
      <w:r>
        <w:t>High cohesion means related responsibilities stay together. Loose coupling means one component depends as little as possible on another component's internal implementation.</w:t>
      </w:r>
    </w:p>
    <w:p w14:paraId="6BFDF0A5" w14:textId="77777777" w:rsidR="000A7066" w:rsidRDefault="00000000">
      <w:pPr>
        <w:pStyle w:val="ListBullet"/>
        <w:spacing w:after="40"/>
      </w:pPr>
      <w:r>
        <w:t>High cohesion: a KYT service scores addresses, evaluates risk rules, stores risk findings, and creates alerts.</w:t>
      </w:r>
    </w:p>
    <w:p w14:paraId="0805CCC7" w14:textId="77777777" w:rsidR="000A7066" w:rsidRDefault="00000000">
      <w:pPr>
        <w:pStyle w:val="ListBullet"/>
        <w:spacing w:after="40"/>
      </w:pPr>
      <w:r>
        <w:t>Low cohesion: a KYT service also sends marketing emails, manages invoices, and edits user profiles.</w:t>
      </w:r>
    </w:p>
    <w:p w14:paraId="618D91E2" w14:textId="77777777" w:rsidR="000A7066" w:rsidRDefault="00000000">
      <w:pPr>
        <w:pStyle w:val="ListBullet"/>
        <w:spacing w:after="40"/>
      </w:pPr>
      <w:r>
        <w:t>Loose coupling: Settlement asks KYT for a risk result through an API or event contract.</w:t>
      </w:r>
    </w:p>
    <w:p w14:paraId="0F226FA9" w14:textId="77777777" w:rsidR="000A7066" w:rsidRDefault="00000000">
      <w:pPr>
        <w:pStyle w:val="ListBullet"/>
        <w:spacing w:after="40"/>
      </w:pPr>
      <w:r>
        <w:t>Tight coupling: Settlement directly reads and modifies KYT internal database tables.</w:t>
      </w:r>
    </w:p>
    <w:p w14:paraId="372250BB" w14:textId="77777777" w:rsidR="000A7066" w:rsidRDefault="00000000">
      <w:r>
        <w:rPr>
          <w:noProof/>
        </w:rPr>
        <w:drawing>
          <wp:inline distT="0" distB="0" distL="0" distR="0" wp14:anchorId="614EF260" wp14:editId="2CB53EEB">
            <wp:extent cx="5806440" cy="2901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ownership.png"/>
                    <pic:cNvPicPr/>
                  </pic:nvPicPr>
                  <pic:blipFill>
                    <a:blip r:embed="rId9"/>
                    <a:stretch>
                      <a:fillRect/>
                    </a:stretch>
                  </pic:blipFill>
                  <pic:spPr>
                    <a:xfrm>
                      <a:off x="0" y="0"/>
                      <a:ext cx="5806440" cy="2901815"/>
                    </a:xfrm>
                    <a:prstGeom prst="rect">
                      <a:avLst/>
                    </a:prstGeom>
                  </pic:spPr>
                </pic:pic>
              </a:graphicData>
            </a:graphic>
          </wp:inline>
        </w:drawing>
      </w:r>
    </w:p>
    <w:p w14:paraId="3A7FE176" w14:textId="77777777" w:rsidR="000A7066" w:rsidRDefault="00000000">
      <w:pPr>
        <w:jc w:val="center"/>
      </w:pPr>
      <w:r>
        <w:rPr>
          <w:i/>
          <w:color w:val="555555"/>
        </w:rPr>
        <w:t>Figure 2. Each service logically owns its data. Other services communicate through contracts, not internal tables.</w:t>
      </w:r>
    </w:p>
    <w:tbl>
      <w:tblPr>
        <w:tblW w:w="0" w:type="auto"/>
        <w:jc w:val="center"/>
        <w:tblLook w:val="04A0" w:firstRow="1" w:lastRow="0" w:firstColumn="1" w:lastColumn="0" w:noHBand="0" w:noVBand="1"/>
      </w:tblPr>
      <w:tblGrid>
        <w:gridCol w:w="9792"/>
      </w:tblGrid>
      <w:tr w:rsidR="000A7066" w14:paraId="347DFC38" w14:textId="77777777">
        <w:trPr>
          <w:jc w:val="center"/>
        </w:trPr>
        <w:tc>
          <w:tcPr>
            <w:tcW w:w="9792" w:type="dxa"/>
            <w:shd w:val="clear" w:color="auto" w:fill="F3F3F3"/>
            <w:tcMar>
              <w:top w:w="120" w:type="dxa"/>
              <w:left w:w="160" w:type="dxa"/>
              <w:bottom w:w="120" w:type="dxa"/>
              <w:right w:w="160" w:type="dxa"/>
            </w:tcMar>
          </w:tcPr>
          <w:p w14:paraId="56F9494D" w14:textId="77777777" w:rsidR="000A7066" w:rsidRDefault="00000000">
            <w:pPr>
              <w:spacing w:after="0"/>
            </w:pPr>
            <w:r>
              <w:rPr>
                <w:b/>
                <w:color w:val="A61B1B"/>
              </w:rPr>
              <w:lastRenderedPageBreak/>
              <w:t xml:space="preserve">VERY IMPORTANT: </w:t>
            </w:r>
            <w:r>
              <w:rPr>
                <w:color w:val="A61B1B"/>
              </w:rPr>
              <w:t>"Database per service" means data ownership. It does not require a separate physical database server for every service on day one.</w:t>
            </w:r>
          </w:p>
        </w:tc>
      </w:tr>
    </w:tbl>
    <w:p w14:paraId="6041C3BD" w14:textId="77777777" w:rsidR="000A7066" w:rsidRDefault="000A7066">
      <w:pPr>
        <w:spacing w:after="0"/>
      </w:pPr>
    </w:p>
    <w:p w14:paraId="55FF09DE" w14:textId="77777777" w:rsidR="000A7066" w:rsidRDefault="00000000" w:rsidP="00E16861">
      <w:pPr>
        <w:pStyle w:val="Heading3"/>
      </w:pPr>
      <w:bookmarkStart w:id="6" w:name="_Toc240631033"/>
      <w:r>
        <w:t>Why companies accept microservice complexity</w:t>
      </w:r>
      <w:bookmarkEnd w:id="6"/>
    </w:p>
    <w:p w14:paraId="342A6C2E" w14:textId="711A7295" w:rsidR="000A7066" w:rsidRDefault="00000000">
      <w:pPr>
        <w:pStyle w:val="ListBullet"/>
        <w:spacing w:after="40"/>
      </w:pPr>
      <w:r>
        <w:t>Independent deployment: one team can release without rebuilding the entire platform.</w:t>
      </w:r>
    </w:p>
    <w:p w14:paraId="5A84F514" w14:textId="77777777" w:rsidR="000A7066" w:rsidRDefault="00000000">
      <w:pPr>
        <w:pStyle w:val="ListBullet"/>
        <w:spacing w:after="40"/>
      </w:pPr>
      <w:r>
        <w:t>Independent scaling: a high-volume KYT or blockchain-observer service can scale without scaling unrelated services.</w:t>
      </w:r>
    </w:p>
    <w:p w14:paraId="39BAEE56" w14:textId="77777777" w:rsidR="000A7066" w:rsidRDefault="00000000">
      <w:pPr>
        <w:pStyle w:val="ListBullet"/>
        <w:spacing w:after="40"/>
      </w:pPr>
      <w:r>
        <w:t>Failure isolation: an analytics failure should not automatically stop withdrawals.</w:t>
      </w:r>
    </w:p>
    <w:p w14:paraId="53562C90" w14:textId="77777777" w:rsidR="000A7066" w:rsidRDefault="00000000">
      <w:pPr>
        <w:pStyle w:val="ListBullet"/>
        <w:spacing w:after="40"/>
      </w:pPr>
      <w:r>
        <w:t>Clear ownership: teams can own business capabilities end to end.</w:t>
      </w:r>
    </w:p>
    <w:p w14:paraId="2BF8698E" w14:textId="77777777" w:rsidR="000A7066" w:rsidRDefault="00000000">
      <w:r>
        <w:t>The tradeoff is substantial: network failures, latency, distributed data consistency, observability, deployment orchestration, version compatibility, and retry behavior all become first-class engineering problems.</w:t>
      </w:r>
    </w:p>
    <w:p w14:paraId="73F62CDF" w14:textId="77777777" w:rsidR="000A7066" w:rsidRDefault="00000000" w:rsidP="00E16861">
      <w:pPr>
        <w:pStyle w:val="Heading2"/>
      </w:pPr>
      <w:bookmarkStart w:id="7" w:name="_Toc240631034"/>
      <w:r>
        <w:t>3. Synchronous vs asynchronous communication</w:t>
      </w:r>
      <w:bookmarkEnd w:id="7"/>
    </w:p>
    <w:p w14:paraId="4624615F" w14:textId="77777777" w:rsidR="000A7066" w:rsidRDefault="00000000">
      <w:r>
        <w:t>Distributed backends normally use both request/response communication and event-driven communication. They solve different problems.</w:t>
      </w:r>
    </w:p>
    <w:p w14:paraId="7CB844D0" w14:textId="77777777" w:rsidR="000A7066" w:rsidRDefault="00000000">
      <w:r>
        <w:rPr>
          <w:noProof/>
        </w:rPr>
        <w:drawing>
          <wp:inline distT="0" distB="0" distL="0" distR="0" wp14:anchorId="403B8261" wp14:editId="4605A83E">
            <wp:extent cx="5852160" cy="3058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_async.png"/>
                    <pic:cNvPicPr/>
                  </pic:nvPicPr>
                  <pic:blipFill>
                    <a:blip r:embed="rId10"/>
                    <a:stretch>
                      <a:fillRect/>
                    </a:stretch>
                  </pic:blipFill>
                  <pic:spPr>
                    <a:xfrm>
                      <a:off x="0" y="0"/>
                      <a:ext cx="5852160" cy="3058115"/>
                    </a:xfrm>
                    <a:prstGeom prst="rect">
                      <a:avLst/>
                    </a:prstGeom>
                  </pic:spPr>
                </pic:pic>
              </a:graphicData>
            </a:graphic>
          </wp:inline>
        </w:drawing>
      </w:r>
    </w:p>
    <w:p w14:paraId="4434CE75" w14:textId="77777777" w:rsidR="000A7066" w:rsidRDefault="00000000">
      <w:pPr>
        <w:jc w:val="center"/>
      </w:pPr>
      <w:r>
        <w:rPr>
          <w:i/>
          <w:color w:val="555555"/>
        </w:rPr>
        <w:t>Figure 3. Synchronous calls wait for a result; event-driven communication decouples producers from consumers.</w:t>
      </w:r>
    </w:p>
    <w:p w14:paraId="38E131C0" w14:textId="77777777" w:rsidR="000A7066" w:rsidRDefault="00000000" w:rsidP="00E16861">
      <w:pPr>
        <w:pStyle w:val="Heading3"/>
      </w:pPr>
      <w:bookmarkStart w:id="8" w:name="_Toc240631035"/>
      <w:r>
        <w:t>Synchronous communication</w:t>
      </w:r>
      <w:bookmarkEnd w:id="8"/>
    </w:p>
    <w:p w14:paraId="323E6506" w14:textId="77777777" w:rsidR="000A7066" w:rsidRDefault="00000000">
      <w:r>
        <w:t>Use synchronous communication when the caller needs an answer now. Typical examples are getting a settlement status, generating a route quote, requesting a current balance, or asking a KYT service for a current risk result.</w:t>
      </w:r>
    </w:p>
    <w:p w14:paraId="1EB65B97" w14:textId="77777777" w:rsidR="000A7066" w:rsidRDefault="00000000">
      <w:pPr>
        <w:pStyle w:val="ListBullet"/>
        <w:spacing w:after="40"/>
      </w:pPr>
      <w:r>
        <w:t>Simple mental model: request -&gt; processing -&gt; response.</w:t>
      </w:r>
    </w:p>
    <w:p w14:paraId="54E48379" w14:textId="77777777" w:rsidR="000A7066" w:rsidRDefault="00000000">
      <w:pPr>
        <w:pStyle w:val="ListBullet"/>
        <w:spacing w:after="40"/>
      </w:pPr>
      <w:r>
        <w:t>The caller waits, so dependency latency becomes caller latency.</w:t>
      </w:r>
    </w:p>
    <w:p w14:paraId="5D94AE12" w14:textId="77777777" w:rsidR="000A7066" w:rsidRDefault="00000000">
      <w:pPr>
        <w:pStyle w:val="ListBullet"/>
        <w:spacing w:after="40"/>
      </w:pPr>
      <w:r>
        <w:lastRenderedPageBreak/>
        <w:t>If the downstream service is unavailable, failure can propagate up the call chain.</w:t>
      </w:r>
    </w:p>
    <w:p w14:paraId="2BE6BEB5" w14:textId="77777777" w:rsidR="000A7066" w:rsidRDefault="00000000">
      <w:pPr>
        <w:pStyle w:val="ListBullet"/>
        <w:spacing w:after="40"/>
      </w:pPr>
      <w:r>
        <w:t>Timeouts must be explicit; waiting forever is not an acceptable failure strategy.</w:t>
      </w:r>
    </w:p>
    <w:p w14:paraId="4E2EFB3F" w14:textId="77777777" w:rsidR="000A7066" w:rsidRDefault="00000000" w:rsidP="00E16861">
      <w:pPr>
        <w:pStyle w:val="Heading3"/>
      </w:pPr>
      <w:bookmarkStart w:id="9" w:name="_Toc240631036"/>
      <w:r>
        <w:t>Asynchronous / event-driven communication</w:t>
      </w:r>
      <w:bookmarkEnd w:id="9"/>
    </w:p>
    <w:p w14:paraId="7B698363" w14:textId="77777777" w:rsidR="000A7066" w:rsidRDefault="00000000">
      <w:r>
        <w:t>Use asynchronous communication when publishing a fact that happened and one or more systems may react independently. Examples: DepositDetected, DepositConfirmed, WalletFlagged, SettlementCompleted, or TransactionFailed.</w:t>
      </w:r>
    </w:p>
    <w:p w14:paraId="19E27590" w14:textId="77777777" w:rsidR="000A7066" w:rsidRDefault="00000000">
      <w:pPr>
        <w:pStyle w:val="ListBullet"/>
        <w:spacing w:after="40"/>
      </w:pPr>
      <w:r>
        <w:t>Producer publishes an event to a broker or event channel.</w:t>
      </w:r>
    </w:p>
    <w:p w14:paraId="1FC4CDE3" w14:textId="77777777" w:rsidR="000A7066" w:rsidRDefault="00000000">
      <w:pPr>
        <w:pStyle w:val="ListBullet"/>
        <w:spacing w:after="40"/>
      </w:pPr>
      <w:r>
        <w:t>Producer does not need to know every consumer.</w:t>
      </w:r>
    </w:p>
    <w:p w14:paraId="5C1B3642" w14:textId="77777777" w:rsidR="000A7066" w:rsidRDefault="00000000">
      <w:pPr>
        <w:pStyle w:val="ListBullet"/>
        <w:spacing w:after="40"/>
      </w:pPr>
      <w:r>
        <w:t>New consumers can subscribe later without changing the producer.</w:t>
      </w:r>
    </w:p>
    <w:p w14:paraId="1AFD760B" w14:textId="77777777" w:rsidR="000A7066" w:rsidRDefault="00000000">
      <w:pPr>
        <w:pStyle w:val="ListBullet"/>
        <w:spacing w:after="40"/>
      </w:pPr>
      <w:r>
        <w:t>Consumers can process independently and at different speeds.</w:t>
      </w:r>
    </w:p>
    <w:p w14:paraId="08A64556" w14:textId="77777777" w:rsidR="000A7066" w:rsidRDefault="00000000">
      <w:pPr>
        <w:pStyle w:val="ListBullet"/>
        <w:spacing w:after="40"/>
      </w:pPr>
      <w:r>
        <w:t>This improves decoupling, but introduces delivery, ordering, duplicate-processing, and eventual-consistency concerns.</w:t>
      </w:r>
    </w:p>
    <w:tbl>
      <w:tblPr>
        <w:tblW w:w="0" w:type="auto"/>
        <w:jc w:val="center"/>
        <w:tblLook w:val="04A0" w:firstRow="1" w:lastRow="0" w:firstColumn="1" w:lastColumn="0" w:noHBand="0" w:noVBand="1"/>
      </w:tblPr>
      <w:tblGrid>
        <w:gridCol w:w="9792"/>
      </w:tblGrid>
      <w:tr w:rsidR="000A7066" w14:paraId="4873F5A6" w14:textId="77777777">
        <w:trPr>
          <w:jc w:val="center"/>
        </w:trPr>
        <w:tc>
          <w:tcPr>
            <w:tcW w:w="9792" w:type="dxa"/>
            <w:shd w:val="clear" w:color="auto" w:fill="F3F3F3"/>
            <w:tcMar>
              <w:top w:w="120" w:type="dxa"/>
              <w:left w:w="160" w:type="dxa"/>
              <w:bottom w:w="120" w:type="dxa"/>
              <w:right w:w="160" w:type="dxa"/>
            </w:tcMar>
          </w:tcPr>
          <w:p w14:paraId="6DBEB6B3" w14:textId="77777777" w:rsidR="000A7066" w:rsidRDefault="00000000">
            <w:pPr>
              <w:spacing w:after="0"/>
            </w:pPr>
            <w:r>
              <w:rPr>
                <w:b/>
                <w:color w:val="A61B1B"/>
              </w:rPr>
              <w:t xml:space="preserve">KEY DISTINCTION: </w:t>
            </w:r>
            <w:r>
              <w:rPr>
                <w:color w:val="A61B1B"/>
              </w:rPr>
              <w:t>Microservices describe how a system is divided. Event-driven architecture describes how parts can communicate. A system can use microservices with HTTP, events, or both.</w:t>
            </w:r>
          </w:p>
        </w:tc>
      </w:tr>
    </w:tbl>
    <w:p w14:paraId="23A3CEA1" w14:textId="77777777" w:rsidR="000A7066" w:rsidRDefault="000A7066">
      <w:pPr>
        <w:spacing w:after="0"/>
      </w:pPr>
    </w:p>
    <w:p w14:paraId="5E3AAA7D" w14:textId="77777777" w:rsidR="000A7066" w:rsidRDefault="00000000" w:rsidP="00E16861">
      <w:pPr>
        <w:pStyle w:val="Heading3"/>
      </w:pPr>
      <w:bookmarkStart w:id="10" w:name="_Toc240631037"/>
      <w:r>
        <w:t>Commands vs events</w:t>
      </w:r>
      <w:bookmarkEnd w:id="10"/>
    </w:p>
    <w:tbl>
      <w:tblPr>
        <w:tblStyle w:val="TableGrid"/>
        <w:tblW w:w="0" w:type="auto"/>
        <w:jc w:val="center"/>
        <w:tblLook w:val="04A0" w:firstRow="1" w:lastRow="0" w:firstColumn="1" w:lastColumn="0" w:noHBand="0" w:noVBand="1"/>
      </w:tblPr>
      <w:tblGrid>
        <w:gridCol w:w="4896"/>
        <w:gridCol w:w="4896"/>
      </w:tblGrid>
      <w:tr w:rsidR="000A7066" w14:paraId="43C6B6D8" w14:textId="77777777">
        <w:trPr>
          <w:jc w:val="center"/>
        </w:trPr>
        <w:tc>
          <w:tcPr>
            <w:tcW w:w="4896" w:type="dxa"/>
            <w:shd w:val="clear" w:color="auto" w:fill="D9E1F2"/>
            <w:tcMar>
              <w:top w:w="85" w:type="dxa"/>
              <w:left w:w="110" w:type="dxa"/>
              <w:bottom w:w="85" w:type="dxa"/>
              <w:right w:w="110" w:type="dxa"/>
            </w:tcMar>
            <w:vAlign w:val="center"/>
          </w:tcPr>
          <w:p w14:paraId="0BAB5980" w14:textId="77777777" w:rsidR="000A7066" w:rsidRDefault="00000000">
            <w:pPr>
              <w:spacing w:after="0"/>
            </w:pPr>
            <w:r>
              <w:rPr>
                <w:b/>
              </w:rPr>
              <w:t>Command</w:t>
            </w:r>
          </w:p>
        </w:tc>
        <w:tc>
          <w:tcPr>
            <w:tcW w:w="4896" w:type="dxa"/>
            <w:shd w:val="clear" w:color="auto" w:fill="D9E1F2"/>
            <w:tcMar>
              <w:top w:w="85" w:type="dxa"/>
              <w:left w:w="110" w:type="dxa"/>
              <w:bottom w:w="85" w:type="dxa"/>
              <w:right w:w="110" w:type="dxa"/>
            </w:tcMar>
            <w:vAlign w:val="center"/>
          </w:tcPr>
          <w:p w14:paraId="4795400B" w14:textId="77777777" w:rsidR="000A7066" w:rsidRDefault="00000000">
            <w:pPr>
              <w:spacing w:after="0"/>
            </w:pPr>
            <w:r>
              <w:rPr>
                <w:b/>
              </w:rPr>
              <w:t>Event</w:t>
            </w:r>
          </w:p>
        </w:tc>
      </w:tr>
      <w:tr w:rsidR="000A7066" w14:paraId="088A9274" w14:textId="77777777">
        <w:trPr>
          <w:jc w:val="center"/>
        </w:trPr>
        <w:tc>
          <w:tcPr>
            <w:tcW w:w="4896" w:type="dxa"/>
            <w:tcMar>
              <w:top w:w="85" w:type="dxa"/>
              <w:left w:w="110" w:type="dxa"/>
              <w:bottom w:w="85" w:type="dxa"/>
              <w:right w:w="110" w:type="dxa"/>
            </w:tcMar>
            <w:vAlign w:val="center"/>
          </w:tcPr>
          <w:p w14:paraId="396155EF" w14:textId="77777777" w:rsidR="000A7066" w:rsidRDefault="00000000">
            <w:pPr>
              <w:spacing w:after="0"/>
            </w:pPr>
            <w:r>
              <w:t>PerformSettlement</w:t>
            </w:r>
          </w:p>
        </w:tc>
        <w:tc>
          <w:tcPr>
            <w:tcW w:w="4896" w:type="dxa"/>
            <w:tcMar>
              <w:top w:w="85" w:type="dxa"/>
              <w:left w:w="110" w:type="dxa"/>
              <w:bottom w:w="85" w:type="dxa"/>
              <w:right w:w="110" w:type="dxa"/>
            </w:tcMar>
            <w:vAlign w:val="center"/>
          </w:tcPr>
          <w:p w14:paraId="662A8704" w14:textId="77777777" w:rsidR="000A7066" w:rsidRDefault="00000000">
            <w:pPr>
              <w:spacing w:after="0"/>
            </w:pPr>
            <w:r>
              <w:t>SettlementCompleted</w:t>
            </w:r>
          </w:p>
        </w:tc>
      </w:tr>
      <w:tr w:rsidR="000A7066" w14:paraId="468D919C" w14:textId="77777777">
        <w:trPr>
          <w:jc w:val="center"/>
        </w:trPr>
        <w:tc>
          <w:tcPr>
            <w:tcW w:w="4896" w:type="dxa"/>
            <w:tcMar>
              <w:top w:w="85" w:type="dxa"/>
              <w:left w:w="110" w:type="dxa"/>
              <w:bottom w:w="85" w:type="dxa"/>
              <w:right w:w="110" w:type="dxa"/>
            </w:tcMar>
            <w:vAlign w:val="center"/>
          </w:tcPr>
          <w:p w14:paraId="47211221" w14:textId="77777777" w:rsidR="000A7066" w:rsidRDefault="00000000">
            <w:pPr>
              <w:spacing w:after="0"/>
            </w:pPr>
            <w:r>
              <w:t>ScoreWallet</w:t>
            </w:r>
          </w:p>
        </w:tc>
        <w:tc>
          <w:tcPr>
            <w:tcW w:w="4896" w:type="dxa"/>
            <w:tcMar>
              <w:top w:w="85" w:type="dxa"/>
              <w:left w:w="110" w:type="dxa"/>
              <w:bottom w:w="85" w:type="dxa"/>
              <w:right w:w="110" w:type="dxa"/>
            </w:tcMar>
            <w:vAlign w:val="center"/>
          </w:tcPr>
          <w:p w14:paraId="5AC15959" w14:textId="77777777" w:rsidR="000A7066" w:rsidRDefault="00000000">
            <w:pPr>
              <w:spacing w:after="0"/>
            </w:pPr>
            <w:r>
              <w:t>WalletScored</w:t>
            </w:r>
          </w:p>
        </w:tc>
      </w:tr>
      <w:tr w:rsidR="000A7066" w14:paraId="3DBB371F" w14:textId="77777777">
        <w:trPr>
          <w:jc w:val="center"/>
        </w:trPr>
        <w:tc>
          <w:tcPr>
            <w:tcW w:w="4896" w:type="dxa"/>
            <w:tcMar>
              <w:top w:w="85" w:type="dxa"/>
              <w:left w:w="110" w:type="dxa"/>
              <w:bottom w:w="85" w:type="dxa"/>
              <w:right w:w="110" w:type="dxa"/>
            </w:tcMar>
            <w:vAlign w:val="center"/>
          </w:tcPr>
          <w:p w14:paraId="4017E530" w14:textId="77777777" w:rsidR="000A7066" w:rsidRDefault="00000000">
            <w:pPr>
              <w:spacing w:after="0"/>
            </w:pPr>
            <w:r>
              <w:t>SendNotification</w:t>
            </w:r>
          </w:p>
        </w:tc>
        <w:tc>
          <w:tcPr>
            <w:tcW w:w="4896" w:type="dxa"/>
            <w:tcMar>
              <w:top w:w="85" w:type="dxa"/>
              <w:left w:w="110" w:type="dxa"/>
              <w:bottom w:w="85" w:type="dxa"/>
              <w:right w:w="110" w:type="dxa"/>
            </w:tcMar>
            <w:vAlign w:val="center"/>
          </w:tcPr>
          <w:p w14:paraId="6FC04245" w14:textId="77777777" w:rsidR="000A7066" w:rsidRDefault="00000000">
            <w:pPr>
              <w:spacing w:after="0"/>
            </w:pPr>
            <w:r>
              <w:t>NotificationSent</w:t>
            </w:r>
          </w:p>
        </w:tc>
      </w:tr>
    </w:tbl>
    <w:p w14:paraId="523E6306" w14:textId="77777777" w:rsidR="000A7066" w:rsidRDefault="00000000">
      <w:r>
        <w:t>Commands ask for work to be performed. Events usually describe facts in the past tense.</w:t>
      </w:r>
    </w:p>
    <w:p w14:paraId="3E69B0F3" w14:textId="77777777" w:rsidR="000A7066" w:rsidRDefault="00000000" w:rsidP="00E16861">
      <w:pPr>
        <w:pStyle w:val="Heading2"/>
      </w:pPr>
      <w:bookmarkStart w:id="11" w:name="_Toc240631038"/>
      <w:r>
        <w:t>4. Reliability: networks fail</w:t>
      </w:r>
      <w:bookmarkEnd w:id="11"/>
    </w:p>
    <w:p w14:paraId="77B636F6" w14:textId="77777777" w:rsidR="000A7066" w:rsidRDefault="00000000">
      <w:r>
        <w:t>In distributed systems, a request can succeed on the server while the response is lost. The client then sees an error but does not know whether the side effect happened. This is an ambiguous failure.</w:t>
      </w:r>
    </w:p>
    <w:tbl>
      <w:tblPr>
        <w:tblW w:w="0" w:type="auto"/>
        <w:jc w:val="center"/>
        <w:tblLook w:val="04A0" w:firstRow="1" w:lastRow="0" w:firstColumn="1" w:lastColumn="0" w:noHBand="0" w:noVBand="1"/>
      </w:tblPr>
      <w:tblGrid>
        <w:gridCol w:w="9792"/>
      </w:tblGrid>
      <w:tr w:rsidR="000A7066" w14:paraId="2F335646" w14:textId="77777777">
        <w:trPr>
          <w:jc w:val="center"/>
        </w:trPr>
        <w:tc>
          <w:tcPr>
            <w:tcW w:w="9792" w:type="dxa"/>
            <w:shd w:val="clear" w:color="auto" w:fill="F3F3F3"/>
            <w:tcMar>
              <w:top w:w="120" w:type="dxa"/>
              <w:left w:w="160" w:type="dxa"/>
              <w:bottom w:w="120" w:type="dxa"/>
              <w:right w:w="160" w:type="dxa"/>
            </w:tcMar>
          </w:tcPr>
          <w:p w14:paraId="24676FA8" w14:textId="77777777" w:rsidR="000A7066" w:rsidRDefault="00000000">
            <w:pPr>
              <w:spacing w:after="0"/>
            </w:pPr>
            <w:r>
              <w:rPr>
                <w:b/>
                <w:color w:val="A61B1B"/>
              </w:rPr>
              <w:t xml:space="preserve">VERY IMPORTANT: </w:t>
            </w:r>
            <w:r>
              <w:rPr>
                <w:color w:val="A61B1B"/>
              </w:rPr>
              <w:t>If money is involved, blindly retrying an ambiguous request can execute the same financial operation twice.</w:t>
            </w:r>
          </w:p>
        </w:tc>
      </w:tr>
    </w:tbl>
    <w:p w14:paraId="5F8197E4" w14:textId="77777777" w:rsidR="000A7066" w:rsidRDefault="000A7066">
      <w:pPr>
        <w:spacing w:after="0"/>
      </w:pPr>
    </w:p>
    <w:p w14:paraId="09ACE537" w14:textId="77777777" w:rsidR="000A7066" w:rsidRDefault="00000000" w:rsidP="00E16861">
      <w:pPr>
        <w:pStyle w:val="Heading3"/>
      </w:pPr>
      <w:bookmarkStart w:id="12" w:name="_Toc240631039"/>
      <w:r>
        <w:t>Idempotency</w:t>
      </w:r>
      <w:bookmarkEnd w:id="12"/>
    </w:p>
    <w:p w14:paraId="48E22B39" w14:textId="77777777" w:rsidR="000A7066" w:rsidRDefault="00000000">
      <w:r>
        <w:t>An idempotent operation can be retried without repeating the side effect. For operations such as payments, the client sends a unique idempotency key that identifies one logical operation.</w:t>
      </w:r>
    </w:p>
    <w:p w14:paraId="27A1050C" w14:textId="77777777" w:rsidR="000A7066" w:rsidRDefault="00000000">
      <w:r>
        <w:rPr>
          <w:noProof/>
        </w:rPr>
        <w:lastRenderedPageBreak/>
        <w:drawing>
          <wp:inline distT="0" distB="0" distL="0" distR="0" wp14:anchorId="621426AB" wp14:editId="3A1C4749">
            <wp:extent cx="5806440" cy="3025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mpotency.png"/>
                    <pic:cNvPicPr/>
                  </pic:nvPicPr>
                  <pic:blipFill>
                    <a:blip r:embed="rId11"/>
                    <a:stretch>
                      <a:fillRect/>
                    </a:stretch>
                  </pic:blipFill>
                  <pic:spPr>
                    <a:xfrm>
                      <a:off x="0" y="0"/>
                      <a:ext cx="5806440" cy="3025416"/>
                    </a:xfrm>
                    <a:prstGeom prst="rect">
                      <a:avLst/>
                    </a:prstGeom>
                  </pic:spPr>
                </pic:pic>
              </a:graphicData>
            </a:graphic>
          </wp:inline>
        </w:drawing>
      </w:r>
    </w:p>
    <w:p w14:paraId="674B60F1" w14:textId="77777777" w:rsidR="000A7066" w:rsidRDefault="00000000">
      <w:pPr>
        <w:jc w:val="center"/>
      </w:pPr>
      <w:r>
        <w:rPr>
          <w:i/>
          <w:color w:val="555555"/>
        </w:rPr>
        <w:t>Figure 4. Same logical operation, same key: the server returns the stored result rather than charging twice.</w:t>
      </w:r>
    </w:p>
    <w:tbl>
      <w:tblPr>
        <w:tblW w:w="0" w:type="auto"/>
        <w:jc w:val="center"/>
        <w:tblLook w:val="04A0" w:firstRow="1" w:lastRow="0" w:firstColumn="1" w:lastColumn="0" w:noHBand="0" w:noVBand="1"/>
      </w:tblPr>
      <w:tblGrid>
        <w:gridCol w:w="9792"/>
      </w:tblGrid>
      <w:tr w:rsidR="000A7066" w14:paraId="2571F164" w14:textId="77777777">
        <w:trPr>
          <w:jc w:val="center"/>
        </w:trPr>
        <w:tc>
          <w:tcPr>
            <w:tcW w:w="9792" w:type="dxa"/>
            <w:shd w:val="clear" w:color="auto" w:fill="F6F6F6"/>
            <w:tcMar>
              <w:top w:w="140" w:type="dxa"/>
              <w:left w:w="160" w:type="dxa"/>
              <w:bottom w:w="140" w:type="dxa"/>
              <w:right w:w="160" w:type="dxa"/>
            </w:tcMar>
          </w:tcPr>
          <w:p w14:paraId="51D2F79C" w14:textId="77777777" w:rsidR="000A7066" w:rsidRDefault="00000000">
            <w:pPr>
              <w:spacing w:after="0" w:line="240" w:lineRule="auto"/>
            </w:pPr>
            <w:r>
              <w:rPr>
                <w:rFonts w:ascii="Consolas" w:eastAsia="Consolas" w:hAnsi="Consolas"/>
                <w:b/>
                <w:color w:val="2F5597"/>
                <w:sz w:val="21"/>
              </w:rPr>
              <w:t>POST</w:t>
            </w:r>
            <w:r>
              <w:rPr>
                <w:rFonts w:ascii="Consolas" w:eastAsia="Consolas" w:hAnsi="Consolas"/>
                <w:color w:val="222222"/>
                <w:sz w:val="21"/>
              </w:rPr>
              <w:t xml:space="preserve"> /payments</w:t>
            </w:r>
            <w:r>
              <w:br/>
            </w:r>
            <w:r>
              <w:rPr>
                <w:rFonts w:ascii="Consolas" w:eastAsia="Consolas" w:hAnsi="Consolas"/>
                <w:color w:val="7A3E9D"/>
                <w:sz w:val="21"/>
              </w:rPr>
              <w:t>Idempotency-Key</w:t>
            </w:r>
            <w:r>
              <w:rPr>
                <w:rFonts w:ascii="Consolas" w:eastAsia="Consolas" w:hAnsi="Consolas"/>
                <w:color w:val="222222"/>
                <w:sz w:val="21"/>
              </w:rPr>
              <w:t xml:space="preserve">: </w:t>
            </w:r>
            <w:r>
              <w:rPr>
                <w:rFonts w:ascii="Consolas" w:eastAsia="Consolas" w:hAnsi="Consolas"/>
                <w:color w:val="008080"/>
                <w:sz w:val="21"/>
              </w:rPr>
              <w:t>pay_827351</w:t>
            </w:r>
            <w:r>
              <w:br/>
            </w:r>
            <w:r>
              <w:rPr>
                <w:rFonts w:ascii="Consolas" w:eastAsia="Consolas" w:hAnsi="Consolas"/>
                <w:color w:val="222222"/>
                <w:sz w:val="21"/>
              </w:rPr>
              <w:t>{</w:t>
            </w:r>
            <w:r>
              <w:br/>
            </w:r>
            <w:r>
              <w:rPr>
                <w:rFonts w:ascii="Consolas" w:eastAsia="Consolas" w:hAnsi="Consolas"/>
                <w:color w:val="A61B1B"/>
                <w:sz w:val="21"/>
              </w:rPr>
              <w:t xml:space="preserve">  "amount"</w:t>
            </w:r>
            <w:r>
              <w:rPr>
                <w:rFonts w:ascii="Consolas" w:eastAsia="Consolas" w:hAnsi="Consolas"/>
                <w:color w:val="222222"/>
                <w:sz w:val="21"/>
              </w:rPr>
              <w:t xml:space="preserve">: </w:t>
            </w:r>
            <w:r>
              <w:rPr>
                <w:rFonts w:ascii="Consolas" w:eastAsia="Consolas" w:hAnsi="Consolas"/>
                <w:color w:val="2F5597"/>
                <w:sz w:val="21"/>
              </w:rPr>
              <w:t>10000</w:t>
            </w:r>
            <w:r>
              <w:rPr>
                <w:rFonts w:ascii="Consolas" w:eastAsia="Consolas" w:hAnsi="Consolas"/>
                <w:color w:val="222222"/>
                <w:sz w:val="21"/>
              </w:rPr>
              <w:t>,</w:t>
            </w:r>
            <w:r>
              <w:br/>
            </w:r>
            <w:r>
              <w:rPr>
                <w:rFonts w:ascii="Consolas" w:eastAsia="Consolas" w:hAnsi="Consolas"/>
                <w:color w:val="A61B1B"/>
                <w:sz w:val="21"/>
              </w:rPr>
              <w:t xml:space="preserve">  "currency"</w:t>
            </w:r>
            <w:r>
              <w:rPr>
                <w:rFonts w:ascii="Consolas" w:eastAsia="Consolas" w:hAnsi="Consolas"/>
                <w:color w:val="222222"/>
                <w:sz w:val="21"/>
              </w:rPr>
              <w:t xml:space="preserve">: </w:t>
            </w:r>
            <w:r>
              <w:rPr>
                <w:rFonts w:ascii="Consolas" w:eastAsia="Consolas" w:hAnsi="Consolas"/>
                <w:color w:val="008080"/>
                <w:sz w:val="21"/>
              </w:rPr>
              <w:t>"USD"</w:t>
            </w:r>
            <w:r>
              <w:br/>
            </w:r>
            <w:r>
              <w:rPr>
                <w:rFonts w:ascii="Consolas" w:eastAsia="Consolas" w:hAnsi="Consolas"/>
                <w:color w:val="222222"/>
                <w:sz w:val="21"/>
              </w:rPr>
              <w:t>}</w:t>
            </w:r>
          </w:p>
        </w:tc>
      </w:tr>
    </w:tbl>
    <w:p w14:paraId="1F465B60" w14:textId="77777777" w:rsidR="000A7066" w:rsidRDefault="000A7066">
      <w:pPr>
        <w:spacing w:after="0"/>
      </w:pPr>
    </w:p>
    <w:p w14:paraId="692C47BE" w14:textId="77777777" w:rsidR="000A7066" w:rsidRDefault="00000000" w:rsidP="00E16861">
      <w:pPr>
        <w:pStyle w:val="Heading3"/>
      </w:pPr>
      <w:bookmarkStart w:id="13" w:name="_Toc240631040"/>
      <w:r>
        <w:t>Retries, exponential backoff, and jitter</w:t>
      </w:r>
      <w:bookmarkEnd w:id="13"/>
    </w:p>
    <w:p w14:paraId="62C92401" w14:textId="77777777" w:rsidR="000A7066" w:rsidRDefault="00000000">
      <w:r>
        <w:t>Retries are necessary, but retries must be safe and responsible. Exponential backoff increases the delay between attempts. Jitter adds randomness so thousands of clients do not retry at exactly the same time.</w:t>
      </w:r>
    </w:p>
    <w:tbl>
      <w:tblPr>
        <w:tblStyle w:val="TableGrid"/>
        <w:tblW w:w="0" w:type="auto"/>
        <w:jc w:val="center"/>
        <w:tblLook w:val="04A0" w:firstRow="1" w:lastRow="0" w:firstColumn="1" w:lastColumn="0" w:noHBand="0" w:noVBand="1"/>
      </w:tblPr>
      <w:tblGrid>
        <w:gridCol w:w="4896"/>
        <w:gridCol w:w="4896"/>
      </w:tblGrid>
      <w:tr w:rsidR="000A7066" w14:paraId="6B08298B" w14:textId="77777777">
        <w:trPr>
          <w:jc w:val="center"/>
        </w:trPr>
        <w:tc>
          <w:tcPr>
            <w:tcW w:w="4896" w:type="dxa"/>
            <w:shd w:val="clear" w:color="auto" w:fill="D9E1F2"/>
            <w:tcMar>
              <w:top w:w="85" w:type="dxa"/>
              <w:left w:w="110" w:type="dxa"/>
              <w:bottom w:w="85" w:type="dxa"/>
              <w:right w:w="110" w:type="dxa"/>
            </w:tcMar>
            <w:vAlign w:val="center"/>
          </w:tcPr>
          <w:p w14:paraId="59772E5A" w14:textId="77777777" w:rsidR="000A7066" w:rsidRDefault="00000000">
            <w:pPr>
              <w:spacing w:after="0"/>
            </w:pPr>
            <w:r>
              <w:rPr>
                <w:b/>
              </w:rPr>
              <w:t>Mechanism</w:t>
            </w:r>
          </w:p>
        </w:tc>
        <w:tc>
          <w:tcPr>
            <w:tcW w:w="4896" w:type="dxa"/>
            <w:shd w:val="clear" w:color="auto" w:fill="D9E1F2"/>
            <w:tcMar>
              <w:top w:w="85" w:type="dxa"/>
              <w:left w:w="110" w:type="dxa"/>
              <w:bottom w:w="85" w:type="dxa"/>
              <w:right w:w="110" w:type="dxa"/>
            </w:tcMar>
            <w:vAlign w:val="center"/>
          </w:tcPr>
          <w:p w14:paraId="4C3A136D" w14:textId="77777777" w:rsidR="000A7066" w:rsidRDefault="00000000">
            <w:pPr>
              <w:spacing w:after="0"/>
            </w:pPr>
            <w:r>
              <w:rPr>
                <w:b/>
              </w:rPr>
              <w:t>Purpose</w:t>
            </w:r>
          </w:p>
        </w:tc>
      </w:tr>
      <w:tr w:rsidR="000A7066" w14:paraId="4633EF5D" w14:textId="77777777">
        <w:trPr>
          <w:jc w:val="center"/>
        </w:trPr>
        <w:tc>
          <w:tcPr>
            <w:tcW w:w="4896" w:type="dxa"/>
            <w:tcMar>
              <w:top w:w="85" w:type="dxa"/>
              <w:left w:w="110" w:type="dxa"/>
              <w:bottom w:w="85" w:type="dxa"/>
              <w:right w:w="110" w:type="dxa"/>
            </w:tcMar>
            <w:vAlign w:val="center"/>
          </w:tcPr>
          <w:p w14:paraId="332E9762" w14:textId="77777777" w:rsidR="000A7066" w:rsidRDefault="00000000">
            <w:pPr>
              <w:spacing w:after="0"/>
            </w:pPr>
            <w:r>
              <w:t>Idempotency</w:t>
            </w:r>
          </w:p>
        </w:tc>
        <w:tc>
          <w:tcPr>
            <w:tcW w:w="4896" w:type="dxa"/>
            <w:tcMar>
              <w:top w:w="85" w:type="dxa"/>
              <w:left w:w="110" w:type="dxa"/>
              <w:bottom w:w="85" w:type="dxa"/>
              <w:right w:w="110" w:type="dxa"/>
            </w:tcMar>
            <w:vAlign w:val="center"/>
          </w:tcPr>
          <w:p w14:paraId="1D725502" w14:textId="77777777" w:rsidR="000A7066" w:rsidRDefault="00000000">
            <w:pPr>
              <w:spacing w:after="0"/>
            </w:pPr>
            <w:r>
              <w:t>Prevents duplicate side effects.</w:t>
            </w:r>
          </w:p>
        </w:tc>
      </w:tr>
      <w:tr w:rsidR="000A7066" w14:paraId="3A5477F0" w14:textId="77777777">
        <w:trPr>
          <w:jc w:val="center"/>
        </w:trPr>
        <w:tc>
          <w:tcPr>
            <w:tcW w:w="4896" w:type="dxa"/>
            <w:tcMar>
              <w:top w:w="85" w:type="dxa"/>
              <w:left w:w="110" w:type="dxa"/>
              <w:bottom w:w="85" w:type="dxa"/>
              <w:right w:w="110" w:type="dxa"/>
            </w:tcMar>
            <w:vAlign w:val="center"/>
          </w:tcPr>
          <w:p w14:paraId="5172A11E" w14:textId="77777777" w:rsidR="000A7066" w:rsidRDefault="00000000">
            <w:pPr>
              <w:spacing w:after="0"/>
            </w:pPr>
            <w:r>
              <w:t>Retry</w:t>
            </w:r>
          </w:p>
        </w:tc>
        <w:tc>
          <w:tcPr>
            <w:tcW w:w="4896" w:type="dxa"/>
            <w:tcMar>
              <w:top w:w="85" w:type="dxa"/>
              <w:left w:w="110" w:type="dxa"/>
              <w:bottom w:w="85" w:type="dxa"/>
              <w:right w:w="110" w:type="dxa"/>
            </w:tcMar>
            <w:vAlign w:val="center"/>
          </w:tcPr>
          <w:p w14:paraId="359BF00A" w14:textId="77777777" w:rsidR="000A7066" w:rsidRDefault="00000000">
            <w:pPr>
              <w:spacing w:after="0"/>
            </w:pPr>
            <w:r>
              <w:t>Attempts transient operations again.</w:t>
            </w:r>
          </w:p>
        </w:tc>
      </w:tr>
      <w:tr w:rsidR="000A7066" w14:paraId="7C342383" w14:textId="77777777">
        <w:trPr>
          <w:jc w:val="center"/>
        </w:trPr>
        <w:tc>
          <w:tcPr>
            <w:tcW w:w="4896" w:type="dxa"/>
            <w:tcMar>
              <w:top w:w="85" w:type="dxa"/>
              <w:left w:w="110" w:type="dxa"/>
              <w:bottom w:w="85" w:type="dxa"/>
              <w:right w:w="110" w:type="dxa"/>
            </w:tcMar>
            <w:vAlign w:val="center"/>
          </w:tcPr>
          <w:p w14:paraId="558A16E4" w14:textId="77777777" w:rsidR="000A7066" w:rsidRDefault="00000000">
            <w:pPr>
              <w:spacing w:after="0"/>
            </w:pPr>
            <w:r>
              <w:t>Exponential backoff</w:t>
            </w:r>
          </w:p>
        </w:tc>
        <w:tc>
          <w:tcPr>
            <w:tcW w:w="4896" w:type="dxa"/>
            <w:tcMar>
              <w:top w:w="85" w:type="dxa"/>
              <w:left w:w="110" w:type="dxa"/>
              <w:bottom w:w="85" w:type="dxa"/>
              <w:right w:w="110" w:type="dxa"/>
            </w:tcMar>
            <w:vAlign w:val="center"/>
          </w:tcPr>
          <w:p w14:paraId="2D9D0777" w14:textId="77777777" w:rsidR="000A7066" w:rsidRDefault="00000000">
            <w:pPr>
              <w:spacing w:after="0"/>
            </w:pPr>
            <w:r>
              <w:t>Reduces pressure on a degraded dependency.</w:t>
            </w:r>
          </w:p>
        </w:tc>
      </w:tr>
      <w:tr w:rsidR="000A7066" w14:paraId="64AF00DD" w14:textId="77777777">
        <w:trPr>
          <w:jc w:val="center"/>
        </w:trPr>
        <w:tc>
          <w:tcPr>
            <w:tcW w:w="4896" w:type="dxa"/>
            <w:tcMar>
              <w:top w:w="85" w:type="dxa"/>
              <w:left w:w="110" w:type="dxa"/>
              <w:bottom w:w="85" w:type="dxa"/>
              <w:right w:w="110" w:type="dxa"/>
            </w:tcMar>
            <w:vAlign w:val="center"/>
          </w:tcPr>
          <w:p w14:paraId="77435D23" w14:textId="77777777" w:rsidR="000A7066" w:rsidRDefault="00000000">
            <w:pPr>
              <w:spacing w:after="0"/>
            </w:pPr>
            <w:r>
              <w:t>Jitter</w:t>
            </w:r>
          </w:p>
        </w:tc>
        <w:tc>
          <w:tcPr>
            <w:tcW w:w="4896" w:type="dxa"/>
            <w:tcMar>
              <w:top w:w="85" w:type="dxa"/>
              <w:left w:w="110" w:type="dxa"/>
              <w:bottom w:w="85" w:type="dxa"/>
              <w:right w:w="110" w:type="dxa"/>
            </w:tcMar>
            <w:vAlign w:val="center"/>
          </w:tcPr>
          <w:p w14:paraId="6E58EDFD" w14:textId="77777777" w:rsidR="000A7066" w:rsidRDefault="00000000">
            <w:pPr>
              <w:spacing w:after="0"/>
            </w:pPr>
            <w:r>
              <w:t>Prevents synchronized retry waves (the thundering herd).</w:t>
            </w:r>
          </w:p>
        </w:tc>
      </w:tr>
    </w:tbl>
    <w:tbl>
      <w:tblPr>
        <w:tblW w:w="0" w:type="auto"/>
        <w:jc w:val="center"/>
        <w:tblLook w:val="04A0" w:firstRow="1" w:lastRow="0" w:firstColumn="1" w:lastColumn="0" w:noHBand="0" w:noVBand="1"/>
      </w:tblPr>
      <w:tblGrid>
        <w:gridCol w:w="9792"/>
      </w:tblGrid>
      <w:tr w:rsidR="000A7066" w14:paraId="0FEFDECC" w14:textId="77777777">
        <w:trPr>
          <w:jc w:val="center"/>
        </w:trPr>
        <w:tc>
          <w:tcPr>
            <w:tcW w:w="9792" w:type="dxa"/>
            <w:shd w:val="clear" w:color="auto" w:fill="F3F3F3"/>
            <w:tcMar>
              <w:top w:w="120" w:type="dxa"/>
              <w:left w:w="160" w:type="dxa"/>
              <w:bottom w:w="120" w:type="dxa"/>
              <w:right w:w="160" w:type="dxa"/>
            </w:tcMar>
          </w:tcPr>
          <w:p w14:paraId="28C1052A" w14:textId="77777777" w:rsidR="000A7066" w:rsidRDefault="00000000">
            <w:pPr>
              <w:spacing w:after="0"/>
            </w:pPr>
            <w:r>
              <w:rPr>
                <w:b/>
                <w:color w:val="A61B1B"/>
              </w:rPr>
              <w:t xml:space="preserve">MEMORIZE: </w:t>
            </w:r>
            <w:r>
              <w:rPr>
                <w:color w:val="A61B1B"/>
              </w:rPr>
              <w:t>Robust remote calls often combine timeout + retry + idempotency + exponential backoff + jitter.</w:t>
            </w:r>
          </w:p>
        </w:tc>
      </w:tr>
    </w:tbl>
    <w:p w14:paraId="0042F6FA" w14:textId="77777777" w:rsidR="000A7066" w:rsidRDefault="000A7066">
      <w:pPr>
        <w:spacing w:after="0"/>
      </w:pPr>
    </w:p>
    <w:p w14:paraId="24099782" w14:textId="77777777" w:rsidR="000A7066" w:rsidRDefault="00000000" w:rsidP="00E16861">
      <w:pPr>
        <w:pStyle w:val="Heading2"/>
      </w:pPr>
      <w:bookmarkStart w:id="14" w:name="_Toc240631041"/>
      <w:r>
        <w:lastRenderedPageBreak/>
        <w:t>5. Financial backend discipline</w:t>
      </w:r>
      <w:bookmarkEnd w:id="14"/>
    </w:p>
    <w:p w14:paraId="1F062308" w14:textId="77777777" w:rsidR="000A7066" w:rsidRDefault="00000000">
      <w:r>
        <w:t>Backend systems that control money need stronger guarantees than ordinary CRUD applications. The system should be able to prove what it expected, what actually happened, and how money moved through every step.</w:t>
      </w:r>
    </w:p>
    <w:p w14:paraId="497AB2BC" w14:textId="77777777" w:rsidR="000A7066" w:rsidRDefault="00000000" w:rsidP="00E16861">
      <w:pPr>
        <w:pStyle w:val="Heading3"/>
      </w:pPr>
      <w:bookmarkStart w:id="15" w:name="_Toc240631042"/>
      <w:r>
        <w:t>State machines</w:t>
      </w:r>
      <w:bookmarkEnd w:id="15"/>
    </w:p>
    <w:p w14:paraId="0327C56B" w14:textId="77777777" w:rsidR="000A7066" w:rsidRDefault="00000000">
      <w:r>
        <w:t>A state machine defines valid states and valid transitions. Instead of allowing arbitrary status changes, the system explicitly models the lifecycle of an operation.</w:t>
      </w:r>
    </w:p>
    <w:p w14:paraId="27CD5BA9" w14:textId="77777777" w:rsidR="000A7066" w:rsidRDefault="00000000">
      <w:r>
        <w:rPr>
          <w:noProof/>
        </w:rPr>
        <w:drawing>
          <wp:inline distT="0" distB="0" distL="0" distR="0" wp14:anchorId="69E79B33" wp14:editId="7539F201">
            <wp:extent cx="5806440" cy="30872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state.png"/>
                    <pic:cNvPicPr/>
                  </pic:nvPicPr>
                  <pic:blipFill>
                    <a:blip r:embed="rId12"/>
                    <a:stretch>
                      <a:fillRect/>
                    </a:stretch>
                  </pic:blipFill>
                  <pic:spPr>
                    <a:xfrm>
                      <a:off x="0" y="0"/>
                      <a:ext cx="5806440" cy="3087217"/>
                    </a:xfrm>
                    <a:prstGeom prst="rect">
                      <a:avLst/>
                    </a:prstGeom>
                  </pic:spPr>
                </pic:pic>
              </a:graphicData>
            </a:graphic>
          </wp:inline>
        </w:drawing>
      </w:r>
    </w:p>
    <w:p w14:paraId="0C42284F" w14:textId="77777777" w:rsidR="000A7066" w:rsidRDefault="00000000">
      <w:pPr>
        <w:jc w:val="center"/>
      </w:pPr>
      <w:r>
        <w:rPr>
          <w:i/>
          <w:color w:val="555555"/>
        </w:rPr>
        <w:t>Figure 5. Explicit states make financial workflows observable and testable; reconciliation compares belief with external evidence.</w:t>
      </w:r>
    </w:p>
    <w:p w14:paraId="611114DF" w14:textId="77777777" w:rsidR="000A7066" w:rsidRDefault="00000000">
      <w:pPr>
        <w:pStyle w:val="ListBullet"/>
        <w:spacing w:after="40"/>
      </w:pPr>
      <w:r>
        <w:t>Example states: CREATED -&gt; ROUTING -&gt; SUBMITTED -&gt; PENDING -&gt; COMPLETED.</w:t>
      </w:r>
    </w:p>
    <w:p w14:paraId="675A955D" w14:textId="77777777" w:rsidR="000A7066" w:rsidRDefault="00000000">
      <w:pPr>
        <w:pStyle w:val="ListBullet"/>
        <w:spacing w:after="40"/>
      </w:pPr>
      <w:r>
        <w:t>A failure branch can lead to FAILED, RETRYABLE, or MANUAL_REVIEW depending on the design.</w:t>
      </w:r>
    </w:p>
    <w:p w14:paraId="1920EF46" w14:textId="77777777" w:rsidR="000A7066" w:rsidRDefault="00000000">
      <w:pPr>
        <w:pStyle w:val="ListBullet"/>
        <w:spacing w:after="40"/>
      </w:pPr>
      <w:r>
        <w:t>Illegal transitions should be rejected; for example, COMPLETED should not casually return to CREATED.</w:t>
      </w:r>
    </w:p>
    <w:p w14:paraId="1F8805C8" w14:textId="77777777" w:rsidR="000A7066" w:rsidRDefault="00000000">
      <w:pPr>
        <w:pStyle w:val="ListBullet"/>
        <w:spacing w:after="40"/>
      </w:pPr>
      <w:r>
        <w:t>Every transition should be traceable with identifiers, timestamps, and relevant evidence.</w:t>
      </w:r>
    </w:p>
    <w:p w14:paraId="405289B8" w14:textId="77777777" w:rsidR="000A7066" w:rsidRDefault="00000000" w:rsidP="00E16861">
      <w:pPr>
        <w:pStyle w:val="Heading3"/>
      </w:pPr>
      <w:bookmarkStart w:id="16" w:name="_Toc240631043"/>
      <w:r>
        <w:t>Auditability and immutable history</w:t>
      </w:r>
      <w:bookmarkEnd w:id="16"/>
    </w:p>
    <w:p w14:paraId="397A3D4C" w14:textId="77777777" w:rsidR="000A7066" w:rsidRDefault="00000000">
      <w:r>
        <w:t>Financial history should be reconstructable. Instead of keeping only the latest status, important systems preserve a history of meaningful events and state transitions. Stripe describes Ledger as an immutable, auditable log that can reconstruct past state and explain money movement.</w:t>
      </w:r>
    </w:p>
    <w:tbl>
      <w:tblPr>
        <w:tblW w:w="0" w:type="auto"/>
        <w:jc w:val="center"/>
        <w:tblLook w:val="04A0" w:firstRow="1" w:lastRow="0" w:firstColumn="1" w:lastColumn="0" w:noHBand="0" w:noVBand="1"/>
      </w:tblPr>
      <w:tblGrid>
        <w:gridCol w:w="9792"/>
      </w:tblGrid>
      <w:tr w:rsidR="000A7066" w14:paraId="6EA6DF54" w14:textId="77777777">
        <w:trPr>
          <w:jc w:val="center"/>
        </w:trPr>
        <w:tc>
          <w:tcPr>
            <w:tcW w:w="9792" w:type="dxa"/>
            <w:shd w:val="clear" w:color="auto" w:fill="F3F3F3"/>
            <w:tcMar>
              <w:top w:w="120" w:type="dxa"/>
              <w:left w:w="160" w:type="dxa"/>
              <w:bottom w:w="120" w:type="dxa"/>
              <w:right w:w="160" w:type="dxa"/>
            </w:tcMar>
          </w:tcPr>
          <w:p w14:paraId="218E6434" w14:textId="77777777" w:rsidR="000A7066" w:rsidRDefault="00000000">
            <w:pPr>
              <w:spacing w:after="0"/>
            </w:pPr>
            <w:r>
              <w:rPr>
                <w:b/>
                <w:color w:val="A61B1B"/>
              </w:rPr>
              <w:t xml:space="preserve">VERY IMPORTANT: </w:t>
            </w:r>
            <w:r>
              <w:rPr>
                <w:color w:val="A61B1B"/>
              </w:rPr>
              <w:t>For financial infrastructure, "What is the current state?" is not enough. You also need "How did we get here?"</w:t>
            </w:r>
          </w:p>
        </w:tc>
      </w:tr>
    </w:tbl>
    <w:p w14:paraId="12D27B73" w14:textId="77777777" w:rsidR="000A7066" w:rsidRDefault="000A7066">
      <w:pPr>
        <w:spacing w:after="0"/>
      </w:pPr>
    </w:p>
    <w:p w14:paraId="2FD6ADD7" w14:textId="77777777" w:rsidR="000A7066" w:rsidRDefault="00000000" w:rsidP="00E16861">
      <w:pPr>
        <w:pStyle w:val="Heading3"/>
      </w:pPr>
      <w:bookmarkStart w:id="17" w:name="_Toc240631044"/>
      <w:r>
        <w:lastRenderedPageBreak/>
        <w:t>Reconciliation</w:t>
      </w:r>
      <w:bookmarkEnd w:id="17"/>
    </w:p>
    <w:p w14:paraId="59D7DA62" w14:textId="77777777" w:rsidR="000A7066" w:rsidRDefault="00000000">
      <w:r>
        <w:t>Reconciliation compares internal expected state against independent external evidence. Examples include comparing an internal transaction record with blockchain state, or comparing a settlement marked completed with a provider or banking record.</w:t>
      </w:r>
    </w:p>
    <w:p w14:paraId="48E1D42B" w14:textId="77777777" w:rsidR="000A7066" w:rsidRDefault="00000000">
      <w:pPr>
        <w:pStyle w:val="ListBullet"/>
        <w:spacing w:after="40"/>
      </w:pPr>
      <w:r>
        <w:t>Internal DB says transfer completed; blockchain transaction reverted -&gt; inconsistency.</w:t>
      </w:r>
    </w:p>
    <w:p w14:paraId="1A95450C" w14:textId="77777777" w:rsidR="000A7066" w:rsidRDefault="00000000">
      <w:pPr>
        <w:pStyle w:val="ListBullet"/>
        <w:spacing w:after="40"/>
      </w:pPr>
      <w:r>
        <w:t>Internal settlement says completed; provider still reports pending -&gt; inconsistency.</w:t>
      </w:r>
    </w:p>
    <w:p w14:paraId="6B86A583" w14:textId="77777777" w:rsidR="000A7066" w:rsidRDefault="00000000">
      <w:pPr>
        <w:pStyle w:val="ListBullet"/>
        <w:spacing w:after="40"/>
      </w:pPr>
      <w:r>
        <w:t>Expected amount is 1,000; external evidence shows 997 -&gt; investigate fees, routing, or accounting.</w:t>
      </w:r>
    </w:p>
    <w:p w14:paraId="27888FB9" w14:textId="77777777" w:rsidR="000A7066" w:rsidRDefault="00000000">
      <w:r>
        <w:t>The objective is not to pretend failures never happen. The objective is to detect, bound, explain, and recover from failures.</w:t>
      </w:r>
    </w:p>
    <w:p w14:paraId="3CFE6CDF" w14:textId="770C3208" w:rsidR="000A7066" w:rsidRDefault="00000000" w:rsidP="00E16861">
      <w:pPr>
        <w:pStyle w:val="Heading2"/>
      </w:pPr>
      <w:bookmarkStart w:id="18" w:name="_Toc240631045"/>
      <w:r>
        <w:t xml:space="preserve">6. </w:t>
      </w:r>
      <w:r w:rsidR="00402174">
        <w:t xml:space="preserve">section </w:t>
      </w:r>
      <w:r>
        <w:t>vocabulary</w:t>
      </w:r>
      <w:bookmarkEnd w:id="18"/>
    </w:p>
    <w:tbl>
      <w:tblPr>
        <w:tblStyle w:val="TableGrid"/>
        <w:tblW w:w="0" w:type="auto"/>
        <w:jc w:val="center"/>
        <w:tblLook w:val="04A0" w:firstRow="1" w:lastRow="0" w:firstColumn="1" w:lastColumn="0" w:noHBand="0" w:noVBand="1"/>
      </w:tblPr>
      <w:tblGrid>
        <w:gridCol w:w="4896"/>
        <w:gridCol w:w="4896"/>
      </w:tblGrid>
      <w:tr w:rsidR="000A7066" w:rsidRPr="007320A4" w14:paraId="1799F5B5" w14:textId="77777777">
        <w:trPr>
          <w:jc w:val="center"/>
        </w:trPr>
        <w:tc>
          <w:tcPr>
            <w:tcW w:w="4896" w:type="dxa"/>
            <w:shd w:val="clear" w:color="auto" w:fill="D9E1F2"/>
            <w:tcMar>
              <w:top w:w="85" w:type="dxa"/>
              <w:left w:w="110" w:type="dxa"/>
              <w:bottom w:w="85" w:type="dxa"/>
              <w:right w:w="110" w:type="dxa"/>
            </w:tcMar>
            <w:vAlign w:val="center"/>
          </w:tcPr>
          <w:p w14:paraId="07A3777D" w14:textId="77777777" w:rsidR="000A7066" w:rsidRPr="007320A4" w:rsidRDefault="00000000">
            <w:pPr>
              <w:spacing w:after="0"/>
              <w:rPr>
                <w:sz w:val="22"/>
                <w:szCs w:val="20"/>
              </w:rPr>
            </w:pPr>
            <w:r w:rsidRPr="007320A4">
              <w:rPr>
                <w:b/>
                <w:sz w:val="22"/>
                <w:szCs w:val="20"/>
              </w:rPr>
              <w:t>Term</w:t>
            </w:r>
          </w:p>
        </w:tc>
        <w:tc>
          <w:tcPr>
            <w:tcW w:w="4896" w:type="dxa"/>
            <w:shd w:val="clear" w:color="auto" w:fill="D9E1F2"/>
            <w:tcMar>
              <w:top w:w="85" w:type="dxa"/>
              <w:left w:w="110" w:type="dxa"/>
              <w:bottom w:w="85" w:type="dxa"/>
              <w:right w:w="110" w:type="dxa"/>
            </w:tcMar>
            <w:vAlign w:val="center"/>
          </w:tcPr>
          <w:p w14:paraId="252BAD09" w14:textId="77777777" w:rsidR="000A7066" w:rsidRPr="007320A4" w:rsidRDefault="00000000">
            <w:pPr>
              <w:spacing w:after="0"/>
              <w:rPr>
                <w:sz w:val="22"/>
                <w:szCs w:val="20"/>
              </w:rPr>
            </w:pPr>
            <w:r w:rsidRPr="007320A4">
              <w:rPr>
                <w:b/>
                <w:sz w:val="22"/>
                <w:szCs w:val="20"/>
              </w:rPr>
              <w:t>Meaning</w:t>
            </w:r>
          </w:p>
        </w:tc>
      </w:tr>
      <w:tr w:rsidR="000A7066" w:rsidRPr="007320A4" w14:paraId="1697AB86" w14:textId="77777777">
        <w:trPr>
          <w:jc w:val="center"/>
        </w:trPr>
        <w:tc>
          <w:tcPr>
            <w:tcW w:w="4896" w:type="dxa"/>
            <w:tcMar>
              <w:top w:w="85" w:type="dxa"/>
              <w:left w:w="110" w:type="dxa"/>
              <w:bottom w:w="85" w:type="dxa"/>
              <w:right w:w="110" w:type="dxa"/>
            </w:tcMar>
            <w:vAlign w:val="center"/>
          </w:tcPr>
          <w:p w14:paraId="0873E684" w14:textId="77777777" w:rsidR="000A7066" w:rsidRPr="007320A4" w:rsidRDefault="00000000">
            <w:pPr>
              <w:spacing w:after="0"/>
              <w:rPr>
                <w:sz w:val="22"/>
                <w:szCs w:val="20"/>
              </w:rPr>
            </w:pPr>
            <w:r w:rsidRPr="007320A4">
              <w:rPr>
                <w:sz w:val="22"/>
                <w:szCs w:val="20"/>
              </w:rPr>
              <w:t>Monolith</w:t>
            </w:r>
          </w:p>
        </w:tc>
        <w:tc>
          <w:tcPr>
            <w:tcW w:w="4896" w:type="dxa"/>
            <w:tcMar>
              <w:top w:w="85" w:type="dxa"/>
              <w:left w:w="110" w:type="dxa"/>
              <w:bottom w:w="85" w:type="dxa"/>
              <w:right w:w="110" w:type="dxa"/>
            </w:tcMar>
            <w:vAlign w:val="center"/>
          </w:tcPr>
          <w:p w14:paraId="615F0D8C" w14:textId="77777777" w:rsidR="000A7066" w:rsidRPr="007320A4" w:rsidRDefault="00000000">
            <w:pPr>
              <w:spacing w:after="0"/>
              <w:rPr>
                <w:sz w:val="22"/>
                <w:szCs w:val="20"/>
              </w:rPr>
            </w:pPr>
            <w:r w:rsidRPr="007320A4">
              <w:rPr>
                <w:sz w:val="22"/>
                <w:szCs w:val="20"/>
              </w:rPr>
              <w:t>One deployable application.</w:t>
            </w:r>
          </w:p>
        </w:tc>
      </w:tr>
      <w:tr w:rsidR="000A7066" w:rsidRPr="007320A4" w14:paraId="7D0488CB" w14:textId="77777777">
        <w:trPr>
          <w:jc w:val="center"/>
        </w:trPr>
        <w:tc>
          <w:tcPr>
            <w:tcW w:w="4896" w:type="dxa"/>
            <w:tcMar>
              <w:top w:w="85" w:type="dxa"/>
              <w:left w:w="110" w:type="dxa"/>
              <w:bottom w:w="85" w:type="dxa"/>
              <w:right w:w="110" w:type="dxa"/>
            </w:tcMar>
            <w:vAlign w:val="center"/>
          </w:tcPr>
          <w:p w14:paraId="539BEA3A" w14:textId="77777777" w:rsidR="000A7066" w:rsidRPr="007320A4" w:rsidRDefault="00000000">
            <w:pPr>
              <w:spacing w:after="0"/>
              <w:rPr>
                <w:sz w:val="22"/>
                <w:szCs w:val="20"/>
              </w:rPr>
            </w:pPr>
            <w:r w:rsidRPr="007320A4">
              <w:rPr>
                <w:sz w:val="22"/>
                <w:szCs w:val="20"/>
              </w:rPr>
              <w:t>Modular monolith</w:t>
            </w:r>
          </w:p>
        </w:tc>
        <w:tc>
          <w:tcPr>
            <w:tcW w:w="4896" w:type="dxa"/>
            <w:tcMar>
              <w:top w:w="85" w:type="dxa"/>
              <w:left w:w="110" w:type="dxa"/>
              <w:bottom w:w="85" w:type="dxa"/>
              <w:right w:w="110" w:type="dxa"/>
            </w:tcMar>
            <w:vAlign w:val="center"/>
          </w:tcPr>
          <w:p w14:paraId="1F7595E7" w14:textId="77777777" w:rsidR="000A7066" w:rsidRPr="007320A4" w:rsidRDefault="00000000">
            <w:pPr>
              <w:spacing w:after="0"/>
              <w:rPr>
                <w:sz w:val="22"/>
                <w:szCs w:val="20"/>
              </w:rPr>
            </w:pPr>
            <w:r w:rsidRPr="007320A4">
              <w:rPr>
                <w:sz w:val="22"/>
                <w:szCs w:val="20"/>
              </w:rPr>
              <w:t>One deployment with strongly separated internal modules.</w:t>
            </w:r>
          </w:p>
        </w:tc>
      </w:tr>
      <w:tr w:rsidR="000A7066" w:rsidRPr="007320A4" w14:paraId="2005EC13" w14:textId="77777777">
        <w:trPr>
          <w:jc w:val="center"/>
        </w:trPr>
        <w:tc>
          <w:tcPr>
            <w:tcW w:w="4896" w:type="dxa"/>
            <w:tcMar>
              <w:top w:w="85" w:type="dxa"/>
              <w:left w:w="110" w:type="dxa"/>
              <w:bottom w:w="85" w:type="dxa"/>
              <w:right w:w="110" w:type="dxa"/>
            </w:tcMar>
            <w:vAlign w:val="center"/>
          </w:tcPr>
          <w:p w14:paraId="3200D7B2" w14:textId="77777777" w:rsidR="000A7066" w:rsidRPr="007320A4" w:rsidRDefault="00000000">
            <w:pPr>
              <w:spacing w:after="0"/>
              <w:rPr>
                <w:sz w:val="22"/>
                <w:szCs w:val="20"/>
              </w:rPr>
            </w:pPr>
            <w:r w:rsidRPr="007320A4">
              <w:rPr>
                <w:sz w:val="22"/>
                <w:szCs w:val="20"/>
              </w:rPr>
              <w:t>Microservice</w:t>
            </w:r>
          </w:p>
        </w:tc>
        <w:tc>
          <w:tcPr>
            <w:tcW w:w="4896" w:type="dxa"/>
            <w:tcMar>
              <w:top w:w="85" w:type="dxa"/>
              <w:left w:w="110" w:type="dxa"/>
              <w:bottom w:w="85" w:type="dxa"/>
              <w:right w:w="110" w:type="dxa"/>
            </w:tcMar>
            <w:vAlign w:val="center"/>
          </w:tcPr>
          <w:p w14:paraId="655F9C8E" w14:textId="77777777" w:rsidR="000A7066" w:rsidRPr="007320A4" w:rsidRDefault="00000000">
            <w:pPr>
              <w:spacing w:after="0"/>
              <w:rPr>
                <w:sz w:val="22"/>
                <w:szCs w:val="20"/>
              </w:rPr>
            </w:pPr>
            <w:r w:rsidRPr="007320A4">
              <w:rPr>
                <w:sz w:val="22"/>
                <w:szCs w:val="20"/>
              </w:rPr>
              <w:t>Independently deployable service centered on a business capability.</w:t>
            </w:r>
          </w:p>
        </w:tc>
      </w:tr>
      <w:tr w:rsidR="000A7066" w:rsidRPr="007320A4" w14:paraId="308A89A9" w14:textId="77777777">
        <w:trPr>
          <w:jc w:val="center"/>
        </w:trPr>
        <w:tc>
          <w:tcPr>
            <w:tcW w:w="4896" w:type="dxa"/>
            <w:tcMar>
              <w:top w:w="85" w:type="dxa"/>
              <w:left w:w="110" w:type="dxa"/>
              <w:bottom w:w="85" w:type="dxa"/>
              <w:right w:w="110" w:type="dxa"/>
            </w:tcMar>
            <w:vAlign w:val="center"/>
          </w:tcPr>
          <w:p w14:paraId="1E3E4B61" w14:textId="77777777" w:rsidR="000A7066" w:rsidRPr="007320A4" w:rsidRDefault="00000000">
            <w:pPr>
              <w:spacing w:after="0"/>
              <w:rPr>
                <w:sz w:val="22"/>
                <w:szCs w:val="20"/>
              </w:rPr>
            </w:pPr>
            <w:r w:rsidRPr="007320A4">
              <w:rPr>
                <w:sz w:val="22"/>
                <w:szCs w:val="20"/>
              </w:rPr>
              <w:t>Bounded context</w:t>
            </w:r>
          </w:p>
        </w:tc>
        <w:tc>
          <w:tcPr>
            <w:tcW w:w="4896" w:type="dxa"/>
            <w:tcMar>
              <w:top w:w="85" w:type="dxa"/>
              <w:left w:w="110" w:type="dxa"/>
              <w:bottom w:w="85" w:type="dxa"/>
              <w:right w:w="110" w:type="dxa"/>
            </w:tcMar>
            <w:vAlign w:val="center"/>
          </w:tcPr>
          <w:p w14:paraId="56DE7DBC" w14:textId="77777777" w:rsidR="000A7066" w:rsidRPr="007320A4" w:rsidRDefault="00000000">
            <w:pPr>
              <w:spacing w:after="0"/>
              <w:rPr>
                <w:sz w:val="22"/>
                <w:szCs w:val="20"/>
              </w:rPr>
            </w:pPr>
            <w:r w:rsidRPr="007320A4">
              <w:rPr>
                <w:sz w:val="22"/>
                <w:szCs w:val="20"/>
              </w:rPr>
              <w:t>Boundary within which a domain's concepts and rules have a specific meaning.</w:t>
            </w:r>
          </w:p>
        </w:tc>
      </w:tr>
      <w:tr w:rsidR="000A7066" w:rsidRPr="007320A4" w14:paraId="3D14A710" w14:textId="77777777">
        <w:trPr>
          <w:jc w:val="center"/>
        </w:trPr>
        <w:tc>
          <w:tcPr>
            <w:tcW w:w="4896" w:type="dxa"/>
            <w:tcMar>
              <w:top w:w="85" w:type="dxa"/>
              <w:left w:w="110" w:type="dxa"/>
              <w:bottom w:w="85" w:type="dxa"/>
              <w:right w:w="110" w:type="dxa"/>
            </w:tcMar>
            <w:vAlign w:val="center"/>
          </w:tcPr>
          <w:p w14:paraId="4DCFF59B" w14:textId="77777777" w:rsidR="000A7066" w:rsidRPr="007320A4" w:rsidRDefault="00000000">
            <w:pPr>
              <w:spacing w:after="0"/>
              <w:rPr>
                <w:sz w:val="22"/>
                <w:szCs w:val="20"/>
              </w:rPr>
            </w:pPr>
            <w:r w:rsidRPr="007320A4">
              <w:rPr>
                <w:sz w:val="22"/>
                <w:szCs w:val="20"/>
              </w:rPr>
              <w:t>High cohesion</w:t>
            </w:r>
          </w:p>
        </w:tc>
        <w:tc>
          <w:tcPr>
            <w:tcW w:w="4896" w:type="dxa"/>
            <w:tcMar>
              <w:top w:w="85" w:type="dxa"/>
              <w:left w:w="110" w:type="dxa"/>
              <w:bottom w:w="85" w:type="dxa"/>
              <w:right w:w="110" w:type="dxa"/>
            </w:tcMar>
            <w:vAlign w:val="center"/>
          </w:tcPr>
          <w:p w14:paraId="3E0E13A6" w14:textId="77777777" w:rsidR="000A7066" w:rsidRPr="007320A4" w:rsidRDefault="00000000">
            <w:pPr>
              <w:spacing w:after="0"/>
              <w:rPr>
                <w:sz w:val="22"/>
                <w:szCs w:val="20"/>
              </w:rPr>
            </w:pPr>
            <w:r w:rsidRPr="007320A4">
              <w:rPr>
                <w:sz w:val="22"/>
                <w:szCs w:val="20"/>
              </w:rPr>
              <w:t>Related responsibilities live together.</w:t>
            </w:r>
          </w:p>
        </w:tc>
      </w:tr>
      <w:tr w:rsidR="000A7066" w:rsidRPr="007320A4" w14:paraId="37850958" w14:textId="77777777">
        <w:trPr>
          <w:jc w:val="center"/>
        </w:trPr>
        <w:tc>
          <w:tcPr>
            <w:tcW w:w="4896" w:type="dxa"/>
            <w:tcMar>
              <w:top w:w="85" w:type="dxa"/>
              <w:left w:w="110" w:type="dxa"/>
              <w:bottom w:w="85" w:type="dxa"/>
              <w:right w:w="110" w:type="dxa"/>
            </w:tcMar>
            <w:vAlign w:val="center"/>
          </w:tcPr>
          <w:p w14:paraId="5C59EFE5" w14:textId="77777777" w:rsidR="000A7066" w:rsidRPr="007320A4" w:rsidRDefault="00000000">
            <w:pPr>
              <w:spacing w:after="0"/>
              <w:rPr>
                <w:sz w:val="22"/>
                <w:szCs w:val="20"/>
              </w:rPr>
            </w:pPr>
            <w:proofErr w:type="gramStart"/>
            <w:r w:rsidRPr="007320A4">
              <w:rPr>
                <w:sz w:val="22"/>
                <w:szCs w:val="20"/>
              </w:rPr>
              <w:t>Loose</w:t>
            </w:r>
            <w:proofErr w:type="gramEnd"/>
            <w:r w:rsidRPr="007320A4">
              <w:rPr>
                <w:sz w:val="22"/>
                <w:szCs w:val="20"/>
              </w:rPr>
              <w:t xml:space="preserve"> coupling</w:t>
            </w:r>
          </w:p>
        </w:tc>
        <w:tc>
          <w:tcPr>
            <w:tcW w:w="4896" w:type="dxa"/>
            <w:tcMar>
              <w:top w:w="85" w:type="dxa"/>
              <w:left w:w="110" w:type="dxa"/>
              <w:bottom w:w="85" w:type="dxa"/>
              <w:right w:w="110" w:type="dxa"/>
            </w:tcMar>
            <w:vAlign w:val="center"/>
          </w:tcPr>
          <w:p w14:paraId="0155114B" w14:textId="77777777" w:rsidR="000A7066" w:rsidRPr="007320A4" w:rsidRDefault="00000000">
            <w:pPr>
              <w:spacing w:after="0"/>
              <w:rPr>
                <w:sz w:val="22"/>
                <w:szCs w:val="20"/>
              </w:rPr>
            </w:pPr>
            <w:r w:rsidRPr="007320A4">
              <w:rPr>
                <w:sz w:val="22"/>
                <w:szCs w:val="20"/>
              </w:rPr>
              <w:t>Components depend minimally on one another's internals.</w:t>
            </w:r>
          </w:p>
        </w:tc>
      </w:tr>
      <w:tr w:rsidR="000A7066" w:rsidRPr="007320A4" w14:paraId="171CED47" w14:textId="77777777">
        <w:trPr>
          <w:jc w:val="center"/>
        </w:trPr>
        <w:tc>
          <w:tcPr>
            <w:tcW w:w="4896" w:type="dxa"/>
            <w:tcMar>
              <w:top w:w="85" w:type="dxa"/>
              <w:left w:w="110" w:type="dxa"/>
              <w:bottom w:w="85" w:type="dxa"/>
              <w:right w:w="110" w:type="dxa"/>
            </w:tcMar>
            <w:vAlign w:val="center"/>
          </w:tcPr>
          <w:p w14:paraId="05C43710" w14:textId="77777777" w:rsidR="000A7066" w:rsidRPr="007320A4" w:rsidRDefault="00000000">
            <w:pPr>
              <w:spacing w:after="0"/>
              <w:rPr>
                <w:sz w:val="22"/>
                <w:szCs w:val="20"/>
              </w:rPr>
            </w:pPr>
            <w:r w:rsidRPr="007320A4">
              <w:rPr>
                <w:sz w:val="22"/>
                <w:szCs w:val="20"/>
              </w:rPr>
              <w:t>Synchronous call</w:t>
            </w:r>
          </w:p>
        </w:tc>
        <w:tc>
          <w:tcPr>
            <w:tcW w:w="4896" w:type="dxa"/>
            <w:tcMar>
              <w:top w:w="85" w:type="dxa"/>
              <w:left w:w="110" w:type="dxa"/>
              <w:bottom w:w="85" w:type="dxa"/>
              <w:right w:w="110" w:type="dxa"/>
            </w:tcMar>
            <w:vAlign w:val="center"/>
          </w:tcPr>
          <w:p w14:paraId="53810155" w14:textId="77777777" w:rsidR="000A7066" w:rsidRPr="007320A4" w:rsidRDefault="00000000">
            <w:pPr>
              <w:spacing w:after="0"/>
              <w:rPr>
                <w:sz w:val="22"/>
                <w:szCs w:val="20"/>
              </w:rPr>
            </w:pPr>
            <w:r w:rsidRPr="007320A4">
              <w:rPr>
                <w:sz w:val="22"/>
                <w:szCs w:val="20"/>
              </w:rPr>
              <w:t>Caller waits for the downstream result.</w:t>
            </w:r>
          </w:p>
        </w:tc>
      </w:tr>
      <w:tr w:rsidR="000A7066" w:rsidRPr="007320A4" w14:paraId="4D2ACCC1" w14:textId="77777777">
        <w:trPr>
          <w:jc w:val="center"/>
        </w:trPr>
        <w:tc>
          <w:tcPr>
            <w:tcW w:w="4896" w:type="dxa"/>
            <w:tcMar>
              <w:top w:w="85" w:type="dxa"/>
              <w:left w:w="110" w:type="dxa"/>
              <w:bottom w:w="85" w:type="dxa"/>
              <w:right w:w="110" w:type="dxa"/>
            </w:tcMar>
            <w:vAlign w:val="center"/>
          </w:tcPr>
          <w:p w14:paraId="4BC776A3" w14:textId="77777777" w:rsidR="000A7066" w:rsidRPr="007320A4" w:rsidRDefault="00000000">
            <w:pPr>
              <w:spacing w:after="0"/>
              <w:rPr>
                <w:sz w:val="22"/>
                <w:szCs w:val="20"/>
              </w:rPr>
            </w:pPr>
            <w:r w:rsidRPr="007320A4">
              <w:rPr>
                <w:sz w:val="22"/>
                <w:szCs w:val="20"/>
              </w:rPr>
              <w:t>Event</w:t>
            </w:r>
          </w:p>
        </w:tc>
        <w:tc>
          <w:tcPr>
            <w:tcW w:w="4896" w:type="dxa"/>
            <w:tcMar>
              <w:top w:w="85" w:type="dxa"/>
              <w:left w:w="110" w:type="dxa"/>
              <w:bottom w:w="85" w:type="dxa"/>
              <w:right w:w="110" w:type="dxa"/>
            </w:tcMar>
            <w:vAlign w:val="center"/>
          </w:tcPr>
          <w:p w14:paraId="3E1F2DBF" w14:textId="77777777" w:rsidR="000A7066" w:rsidRPr="007320A4" w:rsidRDefault="00000000">
            <w:pPr>
              <w:spacing w:after="0"/>
              <w:rPr>
                <w:sz w:val="22"/>
                <w:szCs w:val="20"/>
              </w:rPr>
            </w:pPr>
            <w:r w:rsidRPr="007320A4">
              <w:rPr>
                <w:sz w:val="22"/>
                <w:szCs w:val="20"/>
              </w:rPr>
              <w:t>A record that something happened.</w:t>
            </w:r>
          </w:p>
        </w:tc>
      </w:tr>
      <w:tr w:rsidR="000A7066" w:rsidRPr="007320A4" w14:paraId="594BC7EE" w14:textId="77777777">
        <w:trPr>
          <w:jc w:val="center"/>
        </w:trPr>
        <w:tc>
          <w:tcPr>
            <w:tcW w:w="4896" w:type="dxa"/>
            <w:tcMar>
              <w:top w:w="85" w:type="dxa"/>
              <w:left w:w="110" w:type="dxa"/>
              <w:bottom w:w="85" w:type="dxa"/>
              <w:right w:w="110" w:type="dxa"/>
            </w:tcMar>
            <w:vAlign w:val="center"/>
          </w:tcPr>
          <w:p w14:paraId="7DFDF62E" w14:textId="77777777" w:rsidR="000A7066" w:rsidRPr="007320A4" w:rsidRDefault="00000000">
            <w:pPr>
              <w:spacing w:after="0"/>
              <w:rPr>
                <w:sz w:val="22"/>
                <w:szCs w:val="20"/>
              </w:rPr>
            </w:pPr>
            <w:r w:rsidRPr="007320A4">
              <w:rPr>
                <w:sz w:val="22"/>
                <w:szCs w:val="20"/>
              </w:rPr>
              <w:t>Event broker</w:t>
            </w:r>
          </w:p>
        </w:tc>
        <w:tc>
          <w:tcPr>
            <w:tcW w:w="4896" w:type="dxa"/>
            <w:tcMar>
              <w:top w:w="85" w:type="dxa"/>
              <w:left w:w="110" w:type="dxa"/>
              <w:bottom w:w="85" w:type="dxa"/>
              <w:right w:w="110" w:type="dxa"/>
            </w:tcMar>
            <w:vAlign w:val="center"/>
          </w:tcPr>
          <w:p w14:paraId="12DA3C66" w14:textId="77777777" w:rsidR="000A7066" w:rsidRPr="007320A4" w:rsidRDefault="00000000">
            <w:pPr>
              <w:spacing w:after="0"/>
              <w:rPr>
                <w:sz w:val="22"/>
                <w:szCs w:val="20"/>
              </w:rPr>
            </w:pPr>
            <w:r w:rsidRPr="007320A4">
              <w:rPr>
                <w:sz w:val="22"/>
                <w:szCs w:val="20"/>
              </w:rPr>
              <w:t>Infrastructure that receives and distributes events.</w:t>
            </w:r>
          </w:p>
        </w:tc>
      </w:tr>
      <w:tr w:rsidR="000A7066" w:rsidRPr="007320A4" w14:paraId="5707E4A2" w14:textId="77777777">
        <w:trPr>
          <w:jc w:val="center"/>
        </w:trPr>
        <w:tc>
          <w:tcPr>
            <w:tcW w:w="4896" w:type="dxa"/>
            <w:tcMar>
              <w:top w:w="85" w:type="dxa"/>
              <w:left w:w="110" w:type="dxa"/>
              <w:bottom w:w="85" w:type="dxa"/>
              <w:right w:w="110" w:type="dxa"/>
            </w:tcMar>
            <w:vAlign w:val="center"/>
          </w:tcPr>
          <w:p w14:paraId="4B41DC1D" w14:textId="77777777" w:rsidR="000A7066" w:rsidRPr="007320A4" w:rsidRDefault="00000000">
            <w:pPr>
              <w:spacing w:after="0"/>
              <w:rPr>
                <w:sz w:val="22"/>
                <w:szCs w:val="20"/>
              </w:rPr>
            </w:pPr>
            <w:r w:rsidRPr="007320A4">
              <w:rPr>
                <w:sz w:val="22"/>
                <w:szCs w:val="20"/>
              </w:rPr>
              <w:t>Data ownership</w:t>
            </w:r>
          </w:p>
        </w:tc>
        <w:tc>
          <w:tcPr>
            <w:tcW w:w="4896" w:type="dxa"/>
            <w:tcMar>
              <w:top w:w="85" w:type="dxa"/>
              <w:left w:w="110" w:type="dxa"/>
              <w:bottom w:w="85" w:type="dxa"/>
              <w:right w:w="110" w:type="dxa"/>
            </w:tcMar>
            <w:vAlign w:val="center"/>
          </w:tcPr>
          <w:p w14:paraId="38A61888" w14:textId="77777777" w:rsidR="000A7066" w:rsidRPr="007320A4" w:rsidRDefault="00000000">
            <w:pPr>
              <w:spacing w:after="0"/>
              <w:rPr>
                <w:sz w:val="22"/>
                <w:szCs w:val="20"/>
              </w:rPr>
            </w:pPr>
            <w:r w:rsidRPr="007320A4">
              <w:rPr>
                <w:sz w:val="22"/>
                <w:szCs w:val="20"/>
              </w:rPr>
              <w:t>A service controls how its domain data is read and changed.</w:t>
            </w:r>
          </w:p>
        </w:tc>
      </w:tr>
      <w:tr w:rsidR="000A7066" w:rsidRPr="007320A4" w14:paraId="2D2A1C4B" w14:textId="77777777">
        <w:trPr>
          <w:jc w:val="center"/>
        </w:trPr>
        <w:tc>
          <w:tcPr>
            <w:tcW w:w="4896" w:type="dxa"/>
            <w:tcMar>
              <w:top w:w="85" w:type="dxa"/>
              <w:left w:w="110" w:type="dxa"/>
              <w:bottom w:w="85" w:type="dxa"/>
              <w:right w:w="110" w:type="dxa"/>
            </w:tcMar>
            <w:vAlign w:val="center"/>
          </w:tcPr>
          <w:p w14:paraId="64DB02C6" w14:textId="77777777" w:rsidR="000A7066" w:rsidRPr="007320A4" w:rsidRDefault="00000000">
            <w:pPr>
              <w:spacing w:after="0"/>
              <w:rPr>
                <w:sz w:val="22"/>
                <w:szCs w:val="20"/>
              </w:rPr>
            </w:pPr>
            <w:r w:rsidRPr="007320A4">
              <w:rPr>
                <w:sz w:val="22"/>
                <w:szCs w:val="20"/>
              </w:rPr>
              <w:t>Idempotency</w:t>
            </w:r>
          </w:p>
        </w:tc>
        <w:tc>
          <w:tcPr>
            <w:tcW w:w="4896" w:type="dxa"/>
            <w:tcMar>
              <w:top w:w="85" w:type="dxa"/>
              <w:left w:w="110" w:type="dxa"/>
              <w:bottom w:w="85" w:type="dxa"/>
              <w:right w:w="110" w:type="dxa"/>
            </w:tcMar>
            <w:vAlign w:val="center"/>
          </w:tcPr>
          <w:p w14:paraId="410663A9" w14:textId="77777777" w:rsidR="000A7066" w:rsidRPr="007320A4" w:rsidRDefault="00000000">
            <w:pPr>
              <w:spacing w:after="0"/>
              <w:rPr>
                <w:sz w:val="22"/>
                <w:szCs w:val="20"/>
              </w:rPr>
            </w:pPr>
            <w:r w:rsidRPr="007320A4">
              <w:rPr>
                <w:sz w:val="22"/>
                <w:szCs w:val="20"/>
              </w:rPr>
              <w:t>Retrying the same logical operation does not repeat the side effect.</w:t>
            </w:r>
          </w:p>
        </w:tc>
      </w:tr>
      <w:tr w:rsidR="000A7066" w:rsidRPr="007320A4" w14:paraId="74299B47" w14:textId="77777777">
        <w:trPr>
          <w:jc w:val="center"/>
        </w:trPr>
        <w:tc>
          <w:tcPr>
            <w:tcW w:w="4896" w:type="dxa"/>
            <w:tcMar>
              <w:top w:w="85" w:type="dxa"/>
              <w:left w:w="110" w:type="dxa"/>
              <w:bottom w:w="85" w:type="dxa"/>
              <w:right w:w="110" w:type="dxa"/>
            </w:tcMar>
            <w:vAlign w:val="center"/>
          </w:tcPr>
          <w:p w14:paraId="438C312D" w14:textId="77777777" w:rsidR="000A7066" w:rsidRPr="007320A4" w:rsidRDefault="00000000">
            <w:pPr>
              <w:spacing w:after="0"/>
              <w:rPr>
                <w:sz w:val="22"/>
                <w:szCs w:val="20"/>
              </w:rPr>
            </w:pPr>
            <w:r w:rsidRPr="007320A4">
              <w:rPr>
                <w:sz w:val="22"/>
                <w:szCs w:val="20"/>
              </w:rPr>
              <w:t>Exponential backoff</w:t>
            </w:r>
          </w:p>
        </w:tc>
        <w:tc>
          <w:tcPr>
            <w:tcW w:w="4896" w:type="dxa"/>
            <w:tcMar>
              <w:top w:w="85" w:type="dxa"/>
              <w:left w:w="110" w:type="dxa"/>
              <w:bottom w:w="85" w:type="dxa"/>
              <w:right w:w="110" w:type="dxa"/>
            </w:tcMar>
            <w:vAlign w:val="center"/>
          </w:tcPr>
          <w:p w14:paraId="74477392" w14:textId="77777777" w:rsidR="000A7066" w:rsidRPr="007320A4" w:rsidRDefault="00000000">
            <w:pPr>
              <w:spacing w:after="0"/>
              <w:rPr>
                <w:sz w:val="22"/>
                <w:szCs w:val="20"/>
              </w:rPr>
            </w:pPr>
            <w:r w:rsidRPr="007320A4">
              <w:rPr>
                <w:sz w:val="22"/>
                <w:szCs w:val="20"/>
              </w:rPr>
              <w:t>Increasing delay between retries.</w:t>
            </w:r>
          </w:p>
        </w:tc>
      </w:tr>
      <w:tr w:rsidR="000A7066" w:rsidRPr="007320A4" w14:paraId="5B857575" w14:textId="77777777">
        <w:trPr>
          <w:jc w:val="center"/>
        </w:trPr>
        <w:tc>
          <w:tcPr>
            <w:tcW w:w="4896" w:type="dxa"/>
            <w:tcMar>
              <w:top w:w="85" w:type="dxa"/>
              <w:left w:w="110" w:type="dxa"/>
              <w:bottom w:w="85" w:type="dxa"/>
              <w:right w:w="110" w:type="dxa"/>
            </w:tcMar>
            <w:vAlign w:val="center"/>
          </w:tcPr>
          <w:p w14:paraId="7B36DAB7" w14:textId="77777777" w:rsidR="000A7066" w:rsidRPr="007320A4" w:rsidRDefault="00000000">
            <w:pPr>
              <w:spacing w:after="0"/>
              <w:rPr>
                <w:sz w:val="22"/>
                <w:szCs w:val="20"/>
              </w:rPr>
            </w:pPr>
            <w:r w:rsidRPr="007320A4">
              <w:rPr>
                <w:sz w:val="22"/>
                <w:szCs w:val="20"/>
              </w:rPr>
              <w:t>Jitter</w:t>
            </w:r>
          </w:p>
        </w:tc>
        <w:tc>
          <w:tcPr>
            <w:tcW w:w="4896" w:type="dxa"/>
            <w:tcMar>
              <w:top w:w="85" w:type="dxa"/>
              <w:left w:w="110" w:type="dxa"/>
              <w:bottom w:w="85" w:type="dxa"/>
              <w:right w:w="110" w:type="dxa"/>
            </w:tcMar>
            <w:vAlign w:val="center"/>
          </w:tcPr>
          <w:p w14:paraId="02719C4A" w14:textId="77777777" w:rsidR="000A7066" w:rsidRPr="007320A4" w:rsidRDefault="00000000">
            <w:pPr>
              <w:spacing w:after="0"/>
              <w:rPr>
                <w:sz w:val="22"/>
                <w:szCs w:val="20"/>
              </w:rPr>
            </w:pPr>
            <w:r w:rsidRPr="007320A4">
              <w:rPr>
                <w:sz w:val="22"/>
                <w:szCs w:val="20"/>
              </w:rPr>
              <w:t>Random variation added to retry timing.</w:t>
            </w:r>
          </w:p>
        </w:tc>
      </w:tr>
      <w:tr w:rsidR="000A7066" w:rsidRPr="007320A4" w14:paraId="1DF32143" w14:textId="77777777">
        <w:trPr>
          <w:jc w:val="center"/>
        </w:trPr>
        <w:tc>
          <w:tcPr>
            <w:tcW w:w="4896" w:type="dxa"/>
            <w:tcMar>
              <w:top w:w="85" w:type="dxa"/>
              <w:left w:w="110" w:type="dxa"/>
              <w:bottom w:w="85" w:type="dxa"/>
              <w:right w:w="110" w:type="dxa"/>
            </w:tcMar>
            <w:vAlign w:val="center"/>
          </w:tcPr>
          <w:p w14:paraId="29F7FAA6" w14:textId="77777777" w:rsidR="000A7066" w:rsidRPr="007320A4" w:rsidRDefault="00000000">
            <w:pPr>
              <w:spacing w:after="0"/>
              <w:rPr>
                <w:sz w:val="22"/>
                <w:szCs w:val="20"/>
              </w:rPr>
            </w:pPr>
            <w:r w:rsidRPr="007320A4">
              <w:rPr>
                <w:sz w:val="22"/>
                <w:szCs w:val="20"/>
              </w:rPr>
              <w:t>State machine</w:t>
            </w:r>
          </w:p>
        </w:tc>
        <w:tc>
          <w:tcPr>
            <w:tcW w:w="4896" w:type="dxa"/>
            <w:tcMar>
              <w:top w:w="85" w:type="dxa"/>
              <w:left w:w="110" w:type="dxa"/>
              <w:bottom w:w="85" w:type="dxa"/>
              <w:right w:w="110" w:type="dxa"/>
            </w:tcMar>
            <w:vAlign w:val="center"/>
          </w:tcPr>
          <w:p w14:paraId="2957876D" w14:textId="77777777" w:rsidR="000A7066" w:rsidRPr="007320A4" w:rsidRDefault="00000000">
            <w:pPr>
              <w:spacing w:after="0"/>
              <w:rPr>
                <w:sz w:val="22"/>
                <w:szCs w:val="20"/>
              </w:rPr>
            </w:pPr>
            <w:r w:rsidRPr="007320A4">
              <w:rPr>
                <w:sz w:val="22"/>
                <w:szCs w:val="20"/>
              </w:rPr>
              <w:t>Explicit states plus legal transitions.</w:t>
            </w:r>
          </w:p>
        </w:tc>
      </w:tr>
      <w:tr w:rsidR="000A7066" w:rsidRPr="007320A4" w14:paraId="07BB9BA9" w14:textId="77777777">
        <w:trPr>
          <w:jc w:val="center"/>
        </w:trPr>
        <w:tc>
          <w:tcPr>
            <w:tcW w:w="4896" w:type="dxa"/>
            <w:tcMar>
              <w:top w:w="85" w:type="dxa"/>
              <w:left w:w="110" w:type="dxa"/>
              <w:bottom w:w="85" w:type="dxa"/>
              <w:right w:w="110" w:type="dxa"/>
            </w:tcMar>
            <w:vAlign w:val="center"/>
          </w:tcPr>
          <w:p w14:paraId="134FD7D1" w14:textId="77777777" w:rsidR="000A7066" w:rsidRPr="007320A4" w:rsidRDefault="00000000">
            <w:pPr>
              <w:spacing w:after="0"/>
              <w:rPr>
                <w:sz w:val="22"/>
                <w:szCs w:val="20"/>
              </w:rPr>
            </w:pPr>
            <w:r w:rsidRPr="007320A4">
              <w:rPr>
                <w:sz w:val="22"/>
                <w:szCs w:val="20"/>
              </w:rPr>
              <w:t>Reconciliation</w:t>
            </w:r>
          </w:p>
        </w:tc>
        <w:tc>
          <w:tcPr>
            <w:tcW w:w="4896" w:type="dxa"/>
            <w:tcMar>
              <w:top w:w="85" w:type="dxa"/>
              <w:left w:w="110" w:type="dxa"/>
              <w:bottom w:w="85" w:type="dxa"/>
              <w:right w:w="110" w:type="dxa"/>
            </w:tcMar>
            <w:vAlign w:val="center"/>
          </w:tcPr>
          <w:p w14:paraId="7917238C" w14:textId="77777777" w:rsidR="000A7066" w:rsidRPr="007320A4" w:rsidRDefault="00000000">
            <w:pPr>
              <w:spacing w:after="0"/>
              <w:rPr>
                <w:sz w:val="22"/>
                <w:szCs w:val="20"/>
              </w:rPr>
            </w:pPr>
            <w:r w:rsidRPr="007320A4">
              <w:rPr>
                <w:sz w:val="22"/>
                <w:szCs w:val="20"/>
              </w:rPr>
              <w:t>Comparison of internal belief with independent external evidence.</w:t>
            </w:r>
          </w:p>
        </w:tc>
      </w:tr>
      <w:tr w:rsidR="000A7066" w:rsidRPr="007320A4" w14:paraId="49028949" w14:textId="77777777">
        <w:trPr>
          <w:jc w:val="center"/>
        </w:trPr>
        <w:tc>
          <w:tcPr>
            <w:tcW w:w="4896" w:type="dxa"/>
            <w:tcMar>
              <w:top w:w="85" w:type="dxa"/>
              <w:left w:w="110" w:type="dxa"/>
              <w:bottom w:w="85" w:type="dxa"/>
              <w:right w:w="110" w:type="dxa"/>
            </w:tcMar>
            <w:vAlign w:val="center"/>
          </w:tcPr>
          <w:p w14:paraId="434F6827" w14:textId="77777777" w:rsidR="000A7066" w:rsidRPr="007320A4" w:rsidRDefault="00000000">
            <w:pPr>
              <w:spacing w:after="0"/>
              <w:rPr>
                <w:sz w:val="22"/>
                <w:szCs w:val="20"/>
              </w:rPr>
            </w:pPr>
            <w:r w:rsidRPr="007320A4">
              <w:rPr>
                <w:sz w:val="22"/>
                <w:szCs w:val="20"/>
              </w:rPr>
              <w:t>Auditability</w:t>
            </w:r>
          </w:p>
        </w:tc>
        <w:tc>
          <w:tcPr>
            <w:tcW w:w="4896" w:type="dxa"/>
            <w:tcMar>
              <w:top w:w="85" w:type="dxa"/>
              <w:left w:w="110" w:type="dxa"/>
              <w:bottom w:w="85" w:type="dxa"/>
              <w:right w:w="110" w:type="dxa"/>
            </w:tcMar>
            <w:vAlign w:val="center"/>
          </w:tcPr>
          <w:p w14:paraId="585B7E20" w14:textId="77777777" w:rsidR="000A7066" w:rsidRPr="007320A4" w:rsidRDefault="00000000">
            <w:pPr>
              <w:spacing w:after="0"/>
              <w:rPr>
                <w:sz w:val="22"/>
                <w:szCs w:val="20"/>
              </w:rPr>
            </w:pPr>
            <w:r w:rsidRPr="007320A4">
              <w:rPr>
                <w:sz w:val="22"/>
                <w:szCs w:val="20"/>
              </w:rPr>
              <w:t>Ability to reconstruct and explain what happened.</w:t>
            </w:r>
          </w:p>
        </w:tc>
      </w:tr>
    </w:tbl>
    <w:p w14:paraId="6CFB1A13" w14:textId="77777777" w:rsidR="000A7066" w:rsidRDefault="000A7066">
      <w:pPr>
        <w:spacing w:after="0"/>
      </w:pPr>
    </w:p>
    <w:sectPr w:rsidR="000A7066" w:rsidSect="00034616">
      <w:footerReference w:type="default" r:id="rId13"/>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D575D" w14:textId="77777777" w:rsidR="00384375" w:rsidRDefault="00384375">
      <w:pPr>
        <w:spacing w:after="0" w:line="240" w:lineRule="auto"/>
      </w:pPr>
      <w:r>
        <w:separator/>
      </w:r>
    </w:p>
  </w:endnote>
  <w:endnote w:type="continuationSeparator" w:id="0">
    <w:p w14:paraId="70F81DBA" w14:textId="77777777" w:rsidR="00384375" w:rsidRDefault="0038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AA31" w14:textId="77777777" w:rsidR="000A7066" w:rsidRDefault="00000000">
    <w:pPr>
      <w:pStyle w:val="Footer"/>
      <w:jc w:val="right"/>
    </w:pPr>
    <w:r>
      <w:rPr>
        <w:color w:val="666666"/>
      </w:rPr>
      <w:t xml:space="preserve">Backend Notes | Arsham Haqiqat | </w:t>
    </w:r>
    <w:r>
      <w:t xml:space="preserve">Page </w:t>
    </w:r>
    <w:r>
      <w:fldChar w:fldCharType="begin"/>
    </w:r>
    <w:r>
      <w:instrText xml:space="preserve"> PAGE </w:instrText>
    </w:r>
    <w:r>
      <w:fldChar w:fldCharType="separate"/>
    </w:r>
    <w:r w:rsidR="00E168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BBE42" w14:textId="77777777" w:rsidR="00384375" w:rsidRDefault="00384375">
      <w:pPr>
        <w:spacing w:after="0" w:line="240" w:lineRule="auto"/>
      </w:pPr>
      <w:r>
        <w:separator/>
      </w:r>
    </w:p>
  </w:footnote>
  <w:footnote w:type="continuationSeparator" w:id="0">
    <w:p w14:paraId="05B0E19A" w14:textId="77777777" w:rsidR="00384375" w:rsidRDefault="00384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4087011">
    <w:abstractNumId w:val="8"/>
  </w:num>
  <w:num w:numId="2" w16cid:durableId="990909433">
    <w:abstractNumId w:val="6"/>
  </w:num>
  <w:num w:numId="3" w16cid:durableId="450435856">
    <w:abstractNumId w:val="5"/>
  </w:num>
  <w:num w:numId="4" w16cid:durableId="1236352733">
    <w:abstractNumId w:val="4"/>
  </w:num>
  <w:num w:numId="5" w16cid:durableId="702678734">
    <w:abstractNumId w:val="7"/>
  </w:num>
  <w:num w:numId="6" w16cid:durableId="226889197">
    <w:abstractNumId w:val="3"/>
  </w:num>
  <w:num w:numId="7" w16cid:durableId="1580601656">
    <w:abstractNumId w:val="2"/>
  </w:num>
  <w:num w:numId="8" w16cid:durableId="702900994">
    <w:abstractNumId w:val="1"/>
  </w:num>
  <w:num w:numId="9" w16cid:durableId="211027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066"/>
    <w:rsid w:val="0015074B"/>
    <w:rsid w:val="00224C8E"/>
    <w:rsid w:val="0029639D"/>
    <w:rsid w:val="00326F90"/>
    <w:rsid w:val="00384375"/>
    <w:rsid w:val="003D12AB"/>
    <w:rsid w:val="00402174"/>
    <w:rsid w:val="00431E49"/>
    <w:rsid w:val="006425E2"/>
    <w:rsid w:val="007320A4"/>
    <w:rsid w:val="00770E1A"/>
    <w:rsid w:val="00781D4E"/>
    <w:rsid w:val="008D1256"/>
    <w:rsid w:val="00990F39"/>
    <w:rsid w:val="00A44470"/>
    <w:rsid w:val="00AA1D8D"/>
    <w:rsid w:val="00AC3266"/>
    <w:rsid w:val="00B47730"/>
    <w:rsid w:val="00C01BA3"/>
    <w:rsid w:val="00C54EC8"/>
    <w:rsid w:val="00CB0664"/>
    <w:rsid w:val="00D07A88"/>
    <w:rsid w:val="00DF1A30"/>
    <w:rsid w:val="00E168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E0DB3"/>
  <w14:defaultImageDpi w14:val="300"/>
  <w15:docId w15:val="{369ACEC2-62A2-45AE-969C-33614910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E16861"/>
    <w:pPr>
      <w:keepNext/>
      <w:keepLines/>
      <w:spacing w:before="480" w:after="0"/>
      <w:outlineLvl w:val="0"/>
    </w:pPr>
    <w:rPr>
      <w:rFonts w:asciiTheme="majorBidi" w:eastAsiaTheme="majorEastAsia" w:hAnsiTheme="majorBidi" w:cstheme="majorBidi"/>
      <w:b/>
      <w:bCs/>
      <w:sz w:val="28"/>
      <w:szCs w:val="28"/>
    </w:rPr>
  </w:style>
  <w:style w:type="paragraph" w:styleId="Heading2">
    <w:name w:val="heading 2"/>
    <w:basedOn w:val="Normal"/>
    <w:next w:val="Normal"/>
    <w:link w:val="Heading2Char"/>
    <w:uiPriority w:val="9"/>
    <w:unhideWhenUsed/>
    <w:qFormat/>
    <w:rsid w:val="00E16861"/>
    <w:pPr>
      <w:keepNext/>
      <w:keepLines/>
      <w:spacing w:before="200" w:after="0"/>
      <w:outlineLvl w:val="1"/>
    </w:pPr>
    <w:rPr>
      <w:rFonts w:asciiTheme="majorBidi" w:eastAsiaTheme="majorEastAsia" w:hAnsiTheme="majorBidi" w:cstheme="majorBidi"/>
      <w:b/>
      <w:bCs/>
      <w:sz w:val="26"/>
      <w:szCs w:val="26"/>
    </w:rPr>
  </w:style>
  <w:style w:type="paragraph" w:styleId="Heading3">
    <w:name w:val="heading 3"/>
    <w:basedOn w:val="Normal"/>
    <w:next w:val="Normal"/>
    <w:link w:val="Heading3Char"/>
    <w:uiPriority w:val="9"/>
    <w:unhideWhenUsed/>
    <w:qFormat/>
    <w:rsid w:val="00E16861"/>
    <w:pPr>
      <w:keepNext/>
      <w:keepLines/>
      <w:spacing w:before="200" w:after="0"/>
      <w:outlineLvl w:val="2"/>
    </w:pPr>
    <w:rPr>
      <w:rFonts w:asciiTheme="majorBidi" w:eastAsiaTheme="majorEastAsia" w:hAnsiTheme="majorBidi" w:cstheme="majorBidi"/>
      <w:b/>
      <w:bCs/>
    </w:rPr>
  </w:style>
  <w:style w:type="paragraph" w:styleId="Heading4">
    <w:name w:val="heading 4"/>
    <w:basedOn w:val="Normal"/>
    <w:next w:val="Normal"/>
    <w:link w:val="Heading4Char"/>
    <w:uiPriority w:val="9"/>
    <w:unhideWhenUsed/>
    <w:qFormat/>
    <w:rsid w:val="00E16861"/>
    <w:pPr>
      <w:keepNext/>
      <w:keepLines/>
      <w:spacing w:before="200" w:after="0"/>
      <w:outlineLvl w:val="3"/>
    </w:pPr>
    <w:rPr>
      <w:rFonts w:asciiTheme="majorBidi" w:eastAsiaTheme="majorEastAsia" w:hAnsiTheme="majorBid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16861"/>
    <w:rPr>
      <w:rFonts w:asciiTheme="majorBidi" w:eastAsiaTheme="majorEastAsia" w:hAnsiTheme="majorBidi" w:cstheme="majorBidi"/>
      <w:b/>
      <w:bCs/>
      <w:sz w:val="28"/>
      <w:szCs w:val="28"/>
    </w:rPr>
  </w:style>
  <w:style w:type="character" w:customStyle="1" w:styleId="Heading2Char">
    <w:name w:val="Heading 2 Char"/>
    <w:basedOn w:val="DefaultParagraphFont"/>
    <w:link w:val="Heading2"/>
    <w:uiPriority w:val="9"/>
    <w:rsid w:val="00E16861"/>
    <w:rPr>
      <w:rFonts w:asciiTheme="majorBidi" w:eastAsiaTheme="majorEastAsia" w:hAnsiTheme="majorBidi" w:cstheme="majorBidi"/>
      <w:b/>
      <w:bCs/>
      <w:sz w:val="26"/>
      <w:szCs w:val="26"/>
    </w:rPr>
  </w:style>
  <w:style w:type="character" w:customStyle="1" w:styleId="Heading3Char">
    <w:name w:val="Heading 3 Char"/>
    <w:basedOn w:val="DefaultParagraphFont"/>
    <w:link w:val="Heading3"/>
    <w:uiPriority w:val="9"/>
    <w:rsid w:val="00E16861"/>
    <w:rPr>
      <w:rFonts w:asciiTheme="majorBidi" w:eastAsiaTheme="majorEastAsia" w:hAnsiTheme="majorBidi"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16861"/>
    <w:rPr>
      <w:rFonts w:asciiTheme="majorBidi" w:eastAsiaTheme="majorEastAsia" w:hAnsiTheme="majorBid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12AB"/>
    <w:pPr>
      <w:spacing w:after="100"/>
    </w:pPr>
  </w:style>
  <w:style w:type="paragraph" w:styleId="TOC2">
    <w:name w:val="toc 2"/>
    <w:basedOn w:val="Normal"/>
    <w:next w:val="Normal"/>
    <w:autoRedefine/>
    <w:uiPriority w:val="39"/>
    <w:unhideWhenUsed/>
    <w:rsid w:val="003D12AB"/>
    <w:pPr>
      <w:spacing w:after="100"/>
      <w:ind w:left="240"/>
    </w:pPr>
  </w:style>
  <w:style w:type="paragraph" w:styleId="TOC3">
    <w:name w:val="toc 3"/>
    <w:basedOn w:val="Normal"/>
    <w:next w:val="Normal"/>
    <w:autoRedefine/>
    <w:uiPriority w:val="39"/>
    <w:unhideWhenUsed/>
    <w:rsid w:val="003D12AB"/>
    <w:pPr>
      <w:spacing w:after="100"/>
      <w:ind w:left="480"/>
    </w:pPr>
  </w:style>
  <w:style w:type="character" w:styleId="Hyperlink">
    <w:name w:val="Hyperlink"/>
    <w:basedOn w:val="DefaultParagraphFont"/>
    <w:uiPriority w:val="99"/>
    <w:unhideWhenUsed/>
    <w:rsid w:val="003D12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9</Pages>
  <Words>1732</Words>
  <Characters>9877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Backend Notes</vt:lpstr>
    </vt:vector>
  </TitlesOfParts>
  <Manager/>
  <Company/>
  <LinksUpToDate>false</LinksUpToDate>
  <CharactersWithSpaces>11586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Notes</dc:title>
  <dc:subject>Backend architecture, distributed systems, and KYT study notes</dc:subject>
  <dc:creator>Arsham Haqiqat</dc:creator>
  <cp:keywords>backend, architecture, microservices, event-driven, idempotency, KYT, Go</cp:keywords>
  <dc:description>generated by python-docx</dc:description>
  <cp:lastModifiedBy>Arsham Haqiqat</cp:lastModifiedBy>
  <cp:revision>10</cp:revision>
  <dcterms:created xsi:type="dcterms:W3CDTF">2013-12-23T23:15:00Z</dcterms:created>
  <dcterms:modified xsi:type="dcterms:W3CDTF">2026-09-20T06:49:00Z</dcterms:modified>
  <cp:category/>
</cp:coreProperties>
</file>