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55A83" w14:textId="74E2845C" w:rsidR="007036C2" w:rsidRPr="009B532E" w:rsidRDefault="009B532E" w:rsidP="007036C2">
      <w:pPr>
        <w:rPr>
          <w:b/>
          <w:bCs/>
          <w:sz w:val="44"/>
          <w:szCs w:val="44"/>
        </w:rPr>
      </w:pPr>
      <w:r w:rsidRPr="009B532E">
        <w:rPr>
          <w:rFonts w:ascii="Times New Roman" w:hAnsi="Times New Roman" w:cs="Times New Roman"/>
          <w:b/>
          <w:bCs/>
          <w:sz w:val="48"/>
          <w:szCs w:val="48"/>
        </w:rPr>
        <w:t>Vendor Risk Assessment &amp; Gap Analysis Report</w:t>
      </w:r>
      <w:r w:rsidR="0013655E" w:rsidRPr="00794BC9">
        <w:rPr>
          <w:b/>
          <w:bCs/>
          <w:sz w:val="36"/>
          <w:szCs w:val="36"/>
        </w:rPr>
        <w:t xml:space="preserve"> (</w:t>
      </w:r>
      <w:proofErr w:type="spellStart"/>
      <w:r w:rsidR="0013655E" w:rsidRPr="00794BC9">
        <w:rPr>
          <w:b/>
          <w:bCs/>
          <w:sz w:val="36"/>
          <w:szCs w:val="36"/>
        </w:rPr>
        <w:t>CloudServe</w:t>
      </w:r>
      <w:proofErr w:type="spellEnd"/>
      <w:r w:rsidR="0013655E" w:rsidRPr="00794BC9">
        <w:rPr>
          <w:b/>
          <w:bCs/>
          <w:sz w:val="36"/>
          <w:szCs w:val="36"/>
        </w:rPr>
        <w:t xml:space="preserve"> Solutions Pvt. Ltd.</w:t>
      </w:r>
      <w:r w:rsidR="0013655E" w:rsidRPr="00794BC9">
        <w:rPr>
          <w:b/>
          <w:bCs/>
          <w:sz w:val="36"/>
          <w:szCs w:val="36"/>
        </w:rPr>
        <w:t>)</w:t>
      </w:r>
    </w:p>
    <w:p w14:paraId="39AA4736" w14:textId="77777777" w:rsidR="009B532E" w:rsidRPr="009B532E" w:rsidRDefault="009B532E" w:rsidP="009B532E">
      <w:r w:rsidRPr="009B532E">
        <w:pict w14:anchorId="56A160AD">
          <v:rect id="_x0000_i1115" style="width:0;height:1.5pt" o:hralign="center" o:hrstd="t" o:hr="t" fillcolor="#a0a0a0" stroked="f"/>
        </w:pict>
      </w:r>
    </w:p>
    <w:p w14:paraId="455B8B26" w14:textId="77777777" w:rsidR="007036C2" w:rsidRPr="007036C2" w:rsidRDefault="007036C2" w:rsidP="007036C2">
      <w:pPr>
        <w:rPr>
          <w:b/>
          <w:bCs/>
          <w:sz w:val="36"/>
          <w:szCs w:val="36"/>
        </w:rPr>
      </w:pPr>
      <w:r w:rsidRPr="007036C2">
        <w:rPr>
          <w:b/>
          <w:bCs/>
          <w:sz w:val="36"/>
          <w:szCs w:val="36"/>
        </w:rPr>
        <w:t>Executive Summary</w:t>
      </w:r>
    </w:p>
    <w:p w14:paraId="63F60CBD" w14:textId="77777777" w:rsidR="007036C2" w:rsidRPr="007036C2" w:rsidRDefault="007036C2" w:rsidP="005F56D7">
      <w:pPr>
        <w:spacing w:after="0"/>
        <w:rPr>
          <w:rFonts w:ascii="Calibri" w:hAnsi="Calibri" w:cs="Calibri"/>
          <w:sz w:val="22"/>
          <w:szCs w:val="22"/>
        </w:rPr>
      </w:pPr>
      <w:r w:rsidRPr="007036C2">
        <w:rPr>
          <w:rFonts w:ascii="Calibri" w:hAnsi="Calibri" w:cs="Calibri"/>
          <w:sz w:val="22"/>
          <w:szCs w:val="22"/>
        </w:rPr>
        <w:t xml:space="preserve">This assessment evaluates the security posture of </w:t>
      </w:r>
      <w:proofErr w:type="spellStart"/>
      <w:r w:rsidRPr="007036C2">
        <w:rPr>
          <w:rFonts w:ascii="Calibri" w:hAnsi="Calibri" w:cs="Calibri"/>
          <w:sz w:val="22"/>
          <w:szCs w:val="22"/>
        </w:rPr>
        <w:t>CloudServe</w:t>
      </w:r>
      <w:proofErr w:type="spellEnd"/>
      <w:r w:rsidRPr="007036C2">
        <w:rPr>
          <w:rFonts w:ascii="Calibri" w:hAnsi="Calibri" w:cs="Calibri"/>
          <w:sz w:val="22"/>
          <w:szCs w:val="22"/>
        </w:rPr>
        <w:t xml:space="preserve"> Solutions Pvt. Ltd., a SaaS provider offering a cloud-based CRM platform, based on vendor questionnaire responses and validation against the SOC 2 Type II report (April 2025 – March 2026).</w:t>
      </w:r>
    </w:p>
    <w:p w14:paraId="7153A9FD" w14:textId="77777777" w:rsidR="007036C2" w:rsidRPr="007036C2" w:rsidRDefault="007036C2" w:rsidP="005F56D7">
      <w:pPr>
        <w:spacing w:after="0"/>
        <w:rPr>
          <w:rFonts w:ascii="Calibri" w:hAnsi="Calibri" w:cs="Calibri"/>
          <w:sz w:val="22"/>
          <w:szCs w:val="22"/>
        </w:rPr>
      </w:pPr>
      <w:r w:rsidRPr="007036C2">
        <w:rPr>
          <w:rFonts w:ascii="Calibri" w:hAnsi="Calibri" w:cs="Calibri"/>
          <w:sz w:val="22"/>
          <w:szCs w:val="22"/>
        </w:rPr>
        <w:t>Overall, the vendor demonstrates a generally mature and well-structured control environment, with most key security controls both implemented and operating effectively. This is supported by the SOC 2 report, which provides independent assurance across areas such as access control, change management, vulnerability management, and incident response.</w:t>
      </w:r>
    </w:p>
    <w:p w14:paraId="31AD4E5D" w14:textId="683ED5C2" w:rsidR="007036C2" w:rsidRPr="007036C2" w:rsidRDefault="007036C2" w:rsidP="005F56D7">
      <w:pPr>
        <w:spacing w:after="0"/>
        <w:rPr>
          <w:rFonts w:ascii="Calibri" w:hAnsi="Calibri" w:cs="Calibri"/>
          <w:sz w:val="22"/>
          <w:szCs w:val="22"/>
        </w:rPr>
      </w:pPr>
      <w:r w:rsidRPr="007036C2">
        <w:rPr>
          <w:rFonts w:ascii="Calibri" w:hAnsi="Calibri" w:cs="Calibri"/>
          <w:sz w:val="22"/>
          <w:szCs w:val="22"/>
        </w:rPr>
        <w:t xml:space="preserve">However, the assessment also identified </w:t>
      </w:r>
      <w:r w:rsidR="001B4F1C" w:rsidRPr="007036C2">
        <w:rPr>
          <w:rFonts w:ascii="Calibri" w:hAnsi="Calibri" w:cs="Calibri"/>
          <w:sz w:val="22"/>
          <w:szCs w:val="22"/>
        </w:rPr>
        <w:t>several</w:t>
      </w:r>
      <w:r w:rsidRPr="007036C2">
        <w:rPr>
          <w:rFonts w:ascii="Calibri" w:hAnsi="Calibri" w:cs="Calibri"/>
          <w:sz w:val="22"/>
          <w:szCs w:val="22"/>
        </w:rPr>
        <w:t xml:space="preserve"> areas </w:t>
      </w:r>
      <w:r w:rsidR="001B4F1C" w:rsidRPr="007036C2">
        <w:rPr>
          <w:rFonts w:ascii="Calibri" w:hAnsi="Calibri" w:cs="Calibri"/>
          <w:sz w:val="22"/>
          <w:szCs w:val="22"/>
        </w:rPr>
        <w:t>were</w:t>
      </w:r>
      <w:r w:rsidRPr="007036C2">
        <w:rPr>
          <w:rFonts w:ascii="Calibri" w:hAnsi="Calibri" w:cs="Calibri"/>
          <w:sz w:val="22"/>
          <w:szCs w:val="22"/>
        </w:rPr>
        <w:t xml:space="preserve"> control execution, visibility, or governance could be improved.</w:t>
      </w:r>
    </w:p>
    <w:p w14:paraId="60A41E93" w14:textId="77777777" w:rsidR="007036C2" w:rsidRPr="007036C2" w:rsidRDefault="007036C2" w:rsidP="005F56D7">
      <w:pPr>
        <w:spacing w:after="0"/>
        <w:rPr>
          <w:rFonts w:ascii="Calibri" w:hAnsi="Calibri" w:cs="Calibri"/>
          <w:sz w:val="22"/>
          <w:szCs w:val="22"/>
        </w:rPr>
      </w:pPr>
      <w:r w:rsidRPr="007036C2">
        <w:rPr>
          <w:rFonts w:ascii="Calibri" w:hAnsi="Calibri" w:cs="Calibri"/>
          <w:sz w:val="22"/>
          <w:szCs w:val="22"/>
        </w:rPr>
        <w:t>The most notable finding is a confirmed deviation in access review processes, where a quarterly privileged access review was not completed within the expected timeframe. While this appears to be an isolated instance, it highlights the importance of consistent execution for critical controls.</w:t>
      </w:r>
    </w:p>
    <w:p w14:paraId="1335D09C" w14:textId="77777777" w:rsidR="007036C2" w:rsidRPr="007036C2" w:rsidRDefault="007036C2" w:rsidP="005F56D7">
      <w:pPr>
        <w:spacing w:after="0"/>
        <w:rPr>
          <w:rFonts w:ascii="Calibri" w:hAnsi="Calibri" w:cs="Calibri"/>
          <w:sz w:val="22"/>
          <w:szCs w:val="22"/>
        </w:rPr>
      </w:pPr>
      <w:r w:rsidRPr="007036C2">
        <w:rPr>
          <w:rFonts w:ascii="Calibri" w:hAnsi="Calibri" w:cs="Calibri"/>
          <w:sz w:val="22"/>
          <w:szCs w:val="22"/>
        </w:rPr>
        <w:t>In addition, several gaps were identified that are not fully covered or validated by the SOC 2 report, including:</w:t>
      </w:r>
    </w:p>
    <w:p w14:paraId="1290B708" w14:textId="77777777" w:rsidR="007036C2" w:rsidRPr="007036C2" w:rsidRDefault="007036C2" w:rsidP="005F56D7">
      <w:pPr>
        <w:numPr>
          <w:ilvl w:val="0"/>
          <w:numId w:val="12"/>
        </w:numPr>
        <w:spacing w:after="0"/>
        <w:rPr>
          <w:rFonts w:ascii="Calibri" w:hAnsi="Calibri" w:cs="Calibri"/>
          <w:sz w:val="22"/>
          <w:szCs w:val="22"/>
        </w:rPr>
      </w:pPr>
      <w:r w:rsidRPr="007036C2">
        <w:rPr>
          <w:rFonts w:ascii="Calibri" w:hAnsi="Calibri" w:cs="Calibri"/>
          <w:sz w:val="22"/>
          <w:szCs w:val="22"/>
        </w:rPr>
        <w:t>Lack of formal governance for cross-border data transfers between India and Singapore</w:t>
      </w:r>
    </w:p>
    <w:p w14:paraId="54CA76E3" w14:textId="77777777" w:rsidR="007036C2" w:rsidRPr="007036C2" w:rsidRDefault="007036C2" w:rsidP="005F56D7">
      <w:pPr>
        <w:numPr>
          <w:ilvl w:val="0"/>
          <w:numId w:val="12"/>
        </w:numPr>
        <w:spacing w:after="0"/>
        <w:rPr>
          <w:rFonts w:ascii="Calibri" w:hAnsi="Calibri" w:cs="Calibri"/>
          <w:sz w:val="22"/>
          <w:szCs w:val="22"/>
        </w:rPr>
      </w:pPr>
      <w:r w:rsidRPr="007036C2">
        <w:rPr>
          <w:rFonts w:ascii="Calibri" w:hAnsi="Calibri" w:cs="Calibri"/>
          <w:sz w:val="22"/>
          <w:szCs w:val="22"/>
        </w:rPr>
        <w:t>Limited clarity on monitoring coverage and incident detection timelines</w:t>
      </w:r>
    </w:p>
    <w:p w14:paraId="763FB927" w14:textId="77777777" w:rsidR="007036C2" w:rsidRPr="007036C2" w:rsidRDefault="007036C2" w:rsidP="005F56D7">
      <w:pPr>
        <w:numPr>
          <w:ilvl w:val="0"/>
          <w:numId w:val="12"/>
        </w:numPr>
        <w:spacing w:after="0"/>
        <w:rPr>
          <w:rFonts w:ascii="Calibri" w:hAnsi="Calibri" w:cs="Calibri"/>
          <w:sz w:val="22"/>
          <w:szCs w:val="22"/>
        </w:rPr>
      </w:pPr>
      <w:r w:rsidRPr="007036C2">
        <w:rPr>
          <w:rFonts w:ascii="Calibri" w:hAnsi="Calibri" w:cs="Calibri"/>
          <w:sz w:val="22"/>
          <w:szCs w:val="22"/>
        </w:rPr>
        <w:t>Absence of structured incident response testing (e.g., tabletop exercises)</w:t>
      </w:r>
    </w:p>
    <w:p w14:paraId="05AF1371" w14:textId="77777777" w:rsidR="007036C2" w:rsidRPr="007036C2" w:rsidRDefault="007036C2" w:rsidP="005F56D7">
      <w:pPr>
        <w:numPr>
          <w:ilvl w:val="0"/>
          <w:numId w:val="12"/>
        </w:numPr>
        <w:spacing w:after="0"/>
        <w:rPr>
          <w:rFonts w:ascii="Calibri" w:hAnsi="Calibri" w:cs="Calibri"/>
          <w:sz w:val="22"/>
          <w:szCs w:val="22"/>
        </w:rPr>
      </w:pPr>
      <w:r w:rsidRPr="007036C2">
        <w:rPr>
          <w:rFonts w:ascii="Calibri" w:hAnsi="Calibri" w:cs="Calibri"/>
          <w:sz w:val="22"/>
          <w:szCs w:val="22"/>
        </w:rPr>
        <w:t>Incomplete visibility into third-party and sub-processor risk management</w:t>
      </w:r>
    </w:p>
    <w:p w14:paraId="28899CB6" w14:textId="77777777" w:rsidR="007036C2" w:rsidRPr="007036C2" w:rsidRDefault="007036C2" w:rsidP="005F56D7">
      <w:pPr>
        <w:numPr>
          <w:ilvl w:val="0"/>
          <w:numId w:val="12"/>
        </w:numPr>
        <w:spacing w:after="0"/>
        <w:rPr>
          <w:rFonts w:ascii="Calibri" w:hAnsi="Calibri" w:cs="Calibri"/>
          <w:sz w:val="22"/>
          <w:szCs w:val="22"/>
        </w:rPr>
      </w:pPr>
      <w:r w:rsidRPr="007036C2">
        <w:rPr>
          <w:rFonts w:ascii="Calibri" w:hAnsi="Calibri" w:cs="Calibri"/>
          <w:sz w:val="22"/>
          <w:szCs w:val="22"/>
        </w:rPr>
        <w:t>Limited transparency in areas such as disaster recovery testing and backup protection</w:t>
      </w:r>
    </w:p>
    <w:p w14:paraId="424DB09C" w14:textId="76179318" w:rsidR="007036C2" w:rsidRPr="007036C2" w:rsidRDefault="007036C2" w:rsidP="005F56D7">
      <w:pPr>
        <w:spacing w:after="0"/>
        <w:rPr>
          <w:rFonts w:ascii="Calibri" w:hAnsi="Calibri" w:cs="Calibri"/>
          <w:sz w:val="22"/>
          <w:szCs w:val="22"/>
        </w:rPr>
      </w:pPr>
      <w:r w:rsidRPr="007036C2">
        <w:rPr>
          <w:rFonts w:ascii="Calibri" w:hAnsi="Calibri" w:cs="Calibri"/>
          <w:sz w:val="22"/>
          <w:szCs w:val="22"/>
        </w:rPr>
        <w:t xml:space="preserve">These observations do not indicate a breakdown of the control </w:t>
      </w:r>
      <w:r w:rsidRPr="00964BB1">
        <w:rPr>
          <w:rFonts w:ascii="Calibri" w:hAnsi="Calibri" w:cs="Calibri"/>
          <w:sz w:val="22"/>
          <w:szCs w:val="22"/>
        </w:rPr>
        <w:t>environment but</w:t>
      </w:r>
      <w:r w:rsidRPr="007036C2">
        <w:rPr>
          <w:rFonts w:ascii="Calibri" w:hAnsi="Calibri" w:cs="Calibri"/>
          <w:sz w:val="22"/>
          <w:szCs w:val="22"/>
        </w:rPr>
        <w:t xml:space="preserve"> rather point to areas where controls are either not fully matured or not consistently evidenced.</w:t>
      </w:r>
    </w:p>
    <w:p w14:paraId="397D16E1" w14:textId="77777777" w:rsidR="007036C2" w:rsidRPr="007036C2" w:rsidRDefault="007036C2" w:rsidP="005F56D7">
      <w:pPr>
        <w:spacing w:after="0"/>
        <w:rPr>
          <w:rFonts w:ascii="Calibri" w:hAnsi="Calibri" w:cs="Calibri"/>
          <w:sz w:val="22"/>
          <w:szCs w:val="22"/>
        </w:rPr>
      </w:pPr>
      <w:r w:rsidRPr="007036C2">
        <w:rPr>
          <w:rFonts w:ascii="Calibri" w:hAnsi="Calibri" w:cs="Calibri"/>
          <w:sz w:val="22"/>
          <w:szCs w:val="22"/>
        </w:rPr>
        <w:t>From a risk perspective, the vendor is assessed as Moderate to High risk, primarily due to the nature of the service, the handling of sensitive customer data, and the identified gaps in governance and operational consistency.</w:t>
      </w:r>
    </w:p>
    <w:p w14:paraId="0EE39726" w14:textId="77777777" w:rsidR="007036C2" w:rsidRPr="007036C2" w:rsidRDefault="007036C2" w:rsidP="005F56D7">
      <w:pPr>
        <w:spacing w:after="0"/>
        <w:rPr>
          <w:rFonts w:ascii="Calibri" w:hAnsi="Calibri" w:cs="Calibri"/>
          <w:sz w:val="22"/>
          <w:szCs w:val="22"/>
        </w:rPr>
      </w:pPr>
      <w:r w:rsidRPr="007036C2">
        <w:rPr>
          <w:rFonts w:ascii="Calibri" w:hAnsi="Calibri" w:cs="Calibri"/>
          <w:sz w:val="22"/>
          <w:szCs w:val="22"/>
        </w:rPr>
        <w:t>Based on the overall assessment, it is recommended to proceed with the vendor under conditional acceptance, with a focus on addressing the identified gaps. Strengthening these areas will improve assurance and reduce potential exposure over time.</w:t>
      </w:r>
    </w:p>
    <w:p w14:paraId="4C2A4560" w14:textId="77777777" w:rsidR="007036C2" w:rsidRPr="007036C2" w:rsidRDefault="007036C2" w:rsidP="005F56D7">
      <w:pPr>
        <w:spacing w:after="0"/>
        <w:rPr>
          <w:rFonts w:ascii="Calibri" w:hAnsi="Calibri" w:cs="Calibri"/>
          <w:sz w:val="22"/>
          <w:szCs w:val="22"/>
        </w:rPr>
      </w:pPr>
      <w:r w:rsidRPr="007036C2">
        <w:rPr>
          <w:rFonts w:ascii="Calibri" w:hAnsi="Calibri" w:cs="Calibri"/>
          <w:sz w:val="22"/>
          <w:szCs w:val="22"/>
        </w:rPr>
        <w:t xml:space="preserve">In summary, </w:t>
      </w:r>
      <w:proofErr w:type="spellStart"/>
      <w:r w:rsidRPr="007036C2">
        <w:rPr>
          <w:rFonts w:ascii="Calibri" w:hAnsi="Calibri" w:cs="Calibri"/>
          <w:sz w:val="22"/>
          <w:szCs w:val="22"/>
        </w:rPr>
        <w:t>CloudServe</w:t>
      </w:r>
      <w:proofErr w:type="spellEnd"/>
      <w:r w:rsidRPr="007036C2">
        <w:rPr>
          <w:rFonts w:ascii="Calibri" w:hAnsi="Calibri" w:cs="Calibri"/>
          <w:sz w:val="22"/>
          <w:szCs w:val="22"/>
        </w:rPr>
        <w:t xml:space="preserve"> demonstrates a strong foundation in security practices, but would benefit from improved consistency, transparency, and governance in certain key areas.</w:t>
      </w:r>
    </w:p>
    <w:p w14:paraId="0CB4530A" w14:textId="77777777" w:rsidR="007036C2" w:rsidRPr="007036C2" w:rsidRDefault="007036C2" w:rsidP="007036C2">
      <w:pPr>
        <w:rPr>
          <w:b/>
          <w:bCs/>
        </w:rPr>
      </w:pPr>
      <w:r w:rsidRPr="007036C2">
        <w:rPr>
          <w:b/>
          <w:bCs/>
        </w:rPr>
        <w:pict w14:anchorId="6AEDF1A1">
          <v:rect id="_x0000_i1163" style="width:0;height:1.5pt" o:hralign="center" o:hrstd="t" o:hr="t" fillcolor="#a0a0a0" stroked="f"/>
        </w:pict>
      </w:r>
    </w:p>
    <w:p w14:paraId="4DF88AFD" w14:textId="77777777" w:rsidR="007036C2" w:rsidRDefault="007036C2" w:rsidP="009B532E">
      <w:pPr>
        <w:rPr>
          <w:b/>
          <w:bCs/>
        </w:rPr>
      </w:pPr>
    </w:p>
    <w:p w14:paraId="044419D9" w14:textId="68E6937D" w:rsidR="0013655E" w:rsidRPr="0013655E" w:rsidRDefault="0013655E" w:rsidP="0013655E"/>
    <w:p w14:paraId="43A05879" w14:textId="77777777" w:rsidR="0013655E" w:rsidRPr="0013655E" w:rsidRDefault="0013655E" w:rsidP="0013655E">
      <w:pPr>
        <w:rPr>
          <w:b/>
          <w:bCs/>
        </w:rPr>
      </w:pPr>
      <w:r w:rsidRPr="0013655E">
        <w:rPr>
          <w:b/>
          <w:bCs/>
        </w:rPr>
        <w:lastRenderedPageBreak/>
        <w:t>1. Introduction</w:t>
      </w:r>
    </w:p>
    <w:p w14:paraId="796EEE19" w14:textId="7B1F21AF" w:rsidR="0013655E" w:rsidRPr="0013655E" w:rsidRDefault="0013655E" w:rsidP="0013655E">
      <w:r w:rsidRPr="0013655E">
        <w:t xml:space="preserve">This report documents the outcome of a security assessment </w:t>
      </w:r>
      <w:r w:rsidR="00794BC9" w:rsidRPr="0013655E">
        <w:t>carried out at</w:t>
      </w:r>
      <w:r w:rsidRPr="0013655E">
        <w:t xml:space="preserve"> </w:t>
      </w:r>
      <w:proofErr w:type="spellStart"/>
      <w:r w:rsidRPr="0013655E">
        <w:t>CloudServe</w:t>
      </w:r>
      <w:proofErr w:type="spellEnd"/>
      <w:r w:rsidRPr="0013655E">
        <w:t xml:space="preserve"> Solutions Pvt. Ltd., a SaaS provider offering a cloud-based CRM platform.</w:t>
      </w:r>
    </w:p>
    <w:p w14:paraId="2FB1349C" w14:textId="385A8AF4" w:rsidR="0013655E" w:rsidRPr="0013655E" w:rsidRDefault="0013655E" w:rsidP="0013655E">
      <w:r w:rsidRPr="0013655E">
        <w:t xml:space="preserve">The objective of this assessment was not just to review the controls claimed by the vendor, but to critically evaluate whether those controls are </w:t>
      </w:r>
      <w:r w:rsidR="006079FA" w:rsidRPr="0013655E">
        <w:t>implemented</w:t>
      </w:r>
      <w:r w:rsidRPr="0013655E">
        <w:t>, consistently followed, and independently validated. To achieve this, the vendor’s questionnaire responses were analyzed alongside their SOC 2 Type II report.</w:t>
      </w:r>
    </w:p>
    <w:p w14:paraId="3C3C2481" w14:textId="77777777" w:rsidR="0013655E" w:rsidRPr="0013655E" w:rsidRDefault="0013655E" w:rsidP="0013655E">
      <w:r w:rsidRPr="0013655E">
        <w:t>Given that the platform processes business data including limited personally identifiable information (PII), and operates across multiple geographic regions, this assessment has been conducted with a high-risk lens.</w:t>
      </w:r>
    </w:p>
    <w:p w14:paraId="6A514EEA" w14:textId="77777777" w:rsidR="0013655E" w:rsidRPr="0013655E" w:rsidRDefault="0013655E" w:rsidP="0013655E">
      <w:r w:rsidRPr="0013655E">
        <w:pict w14:anchorId="06C7D1B0">
          <v:rect id="_x0000_i1282" style="width:0;height:1.5pt" o:hralign="center" o:hrstd="t" o:hr="t" fillcolor="#a0a0a0" stroked="f"/>
        </w:pict>
      </w:r>
    </w:p>
    <w:p w14:paraId="4C4D4FFB" w14:textId="77777777" w:rsidR="0013655E" w:rsidRPr="0013655E" w:rsidRDefault="0013655E" w:rsidP="0013655E">
      <w:pPr>
        <w:rPr>
          <w:b/>
          <w:bCs/>
        </w:rPr>
      </w:pPr>
      <w:r w:rsidRPr="0013655E">
        <w:rPr>
          <w:b/>
          <w:bCs/>
        </w:rPr>
        <w:t>2. Scope and Context</w:t>
      </w:r>
    </w:p>
    <w:p w14:paraId="4D023C61" w14:textId="77777777" w:rsidR="0013655E" w:rsidRPr="0013655E" w:rsidRDefault="0013655E" w:rsidP="0013655E">
      <w:r w:rsidRPr="0013655E">
        <w:t xml:space="preserve">The assessment covers the </w:t>
      </w:r>
      <w:proofErr w:type="spellStart"/>
      <w:r w:rsidRPr="0013655E">
        <w:t>CloudServe</w:t>
      </w:r>
      <w:proofErr w:type="spellEnd"/>
      <w:r w:rsidRPr="0013655E">
        <w:t xml:space="preserve"> CRM platform hosted on AWS, including its supporting infrastructure, processes, and personnel involved in delivering the service.</w:t>
      </w:r>
    </w:p>
    <w:p w14:paraId="69D33A2A" w14:textId="77777777" w:rsidR="0013655E" w:rsidRPr="0013655E" w:rsidRDefault="0013655E" w:rsidP="0013655E">
      <w:r w:rsidRPr="0013655E">
        <w:t>Key areas reviewed include:</w:t>
      </w:r>
    </w:p>
    <w:p w14:paraId="676B50CC" w14:textId="77777777" w:rsidR="0013655E" w:rsidRPr="0013655E" w:rsidRDefault="0013655E" w:rsidP="0013655E">
      <w:pPr>
        <w:numPr>
          <w:ilvl w:val="0"/>
          <w:numId w:val="13"/>
        </w:numPr>
      </w:pPr>
      <w:r w:rsidRPr="0013655E">
        <w:t>Governance and risk management practices</w:t>
      </w:r>
    </w:p>
    <w:p w14:paraId="1B077F66" w14:textId="77777777" w:rsidR="0013655E" w:rsidRPr="0013655E" w:rsidRDefault="0013655E" w:rsidP="0013655E">
      <w:pPr>
        <w:numPr>
          <w:ilvl w:val="0"/>
          <w:numId w:val="13"/>
        </w:numPr>
      </w:pPr>
      <w:r w:rsidRPr="0013655E">
        <w:t>Identity and access management</w:t>
      </w:r>
    </w:p>
    <w:p w14:paraId="09AF2501" w14:textId="77777777" w:rsidR="0013655E" w:rsidRPr="0013655E" w:rsidRDefault="0013655E" w:rsidP="0013655E">
      <w:pPr>
        <w:numPr>
          <w:ilvl w:val="0"/>
          <w:numId w:val="13"/>
        </w:numPr>
      </w:pPr>
      <w:r w:rsidRPr="0013655E">
        <w:t>Data protection and encryption</w:t>
      </w:r>
    </w:p>
    <w:p w14:paraId="1F2B4CA4" w14:textId="77777777" w:rsidR="0013655E" w:rsidRPr="0013655E" w:rsidRDefault="0013655E" w:rsidP="0013655E">
      <w:pPr>
        <w:numPr>
          <w:ilvl w:val="0"/>
          <w:numId w:val="13"/>
        </w:numPr>
      </w:pPr>
      <w:r w:rsidRPr="0013655E">
        <w:t>Operational security and monitoring</w:t>
      </w:r>
    </w:p>
    <w:p w14:paraId="5B27E8AC" w14:textId="77777777" w:rsidR="0013655E" w:rsidRPr="0013655E" w:rsidRDefault="0013655E" w:rsidP="0013655E">
      <w:pPr>
        <w:numPr>
          <w:ilvl w:val="0"/>
          <w:numId w:val="13"/>
        </w:numPr>
      </w:pPr>
      <w:r w:rsidRPr="0013655E">
        <w:t>Incident response and business continuity</w:t>
      </w:r>
    </w:p>
    <w:p w14:paraId="2515F80F" w14:textId="77777777" w:rsidR="0013655E" w:rsidRPr="0013655E" w:rsidRDefault="0013655E" w:rsidP="0013655E">
      <w:pPr>
        <w:numPr>
          <w:ilvl w:val="0"/>
          <w:numId w:val="13"/>
        </w:numPr>
      </w:pPr>
      <w:r w:rsidRPr="0013655E">
        <w:t>Third-party and supplier management</w:t>
      </w:r>
    </w:p>
    <w:p w14:paraId="56DA2EAA" w14:textId="77777777" w:rsidR="0013655E" w:rsidRPr="0013655E" w:rsidRDefault="0013655E" w:rsidP="0013655E">
      <w:r w:rsidRPr="0013655E">
        <w:t>The system supports customers in India and Singapore, which introduces additional considerations around cross-border data handling and regulatory exposure.</w:t>
      </w:r>
    </w:p>
    <w:p w14:paraId="0B3D1A16" w14:textId="77777777" w:rsidR="0013655E" w:rsidRPr="0013655E" w:rsidRDefault="0013655E" w:rsidP="0013655E">
      <w:r w:rsidRPr="0013655E">
        <w:pict w14:anchorId="3AC3FC38">
          <v:rect id="_x0000_i1283" style="width:0;height:1.5pt" o:hralign="center" o:hrstd="t" o:hr="t" fillcolor="#a0a0a0" stroked="f"/>
        </w:pict>
      </w:r>
    </w:p>
    <w:p w14:paraId="421E67CD" w14:textId="77777777" w:rsidR="0013655E" w:rsidRPr="0013655E" w:rsidRDefault="0013655E" w:rsidP="0013655E">
      <w:pPr>
        <w:rPr>
          <w:b/>
          <w:bCs/>
        </w:rPr>
      </w:pPr>
      <w:r w:rsidRPr="0013655E">
        <w:rPr>
          <w:b/>
          <w:bCs/>
        </w:rPr>
        <w:t>3. Assessment Approach</w:t>
      </w:r>
    </w:p>
    <w:p w14:paraId="23810AF3" w14:textId="77777777" w:rsidR="0013655E" w:rsidRPr="0013655E" w:rsidRDefault="0013655E" w:rsidP="0013655E">
      <w:r w:rsidRPr="0013655E">
        <w:t>The assessment followed a structured but practical approach:</w:t>
      </w:r>
    </w:p>
    <w:p w14:paraId="288DE033" w14:textId="77777777" w:rsidR="0013655E" w:rsidRPr="0013655E" w:rsidRDefault="0013655E" w:rsidP="0013655E">
      <w:r w:rsidRPr="0013655E">
        <w:t>First, vendor questionnaire responses were reviewed to understand how controls are described and documented.</w:t>
      </w:r>
    </w:p>
    <w:p w14:paraId="65DEC8C9" w14:textId="5E4B81EA" w:rsidR="0013655E" w:rsidRPr="0013655E" w:rsidRDefault="0013655E" w:rsidP="0013655E">
      <w:r w:rsidRPr="0013655E">
        <w:lastRenderedPageBreak/>
        <w:t xml:space="preserve">Second, supporting evidence was evaluated to determine whether those controls are </w:t>
      </w:r>
      <w:r w:rsidR="006079FA" w:rsidRPr="0013655E">
        <w:t>implemented</w:t>
      </w:r>
      <w:r w:rsidRPr="0013655E">
        <w:t>.</w:t>
      </w:r>
    </w:p>
    <w:p w14:paraId="2EC9B311" w14:textId="77777777" w:rsidR="0013655E" w:rsidRPr="0013655E" w:rsidRDefault="0013655E" w:rsidP="0013655E">
      <w:r w:rsidRPr="0013655E">
        <w:t>Finally, and most importantly, the SOC 2 Type II report was used to validate:</w:t>
      </w:r>
    </w:p>
    <w:p w14:paraId="0AE76A2C" w14:textId="77777777" w:rsidR="0013655E" w:rsidRPr="0013655E" w:rsidRDefault="0013655E" w:rsidP="0013655E">
      <w:pPr>
        <w:numPr>
          <w:ilvl w:val="0"/>
          <w:numId w:val="14"/>
        </w:numPr>
      </w:pPr>
      <w:r w:rsidRPr="0013655E">
        <w:t>Whether controls were independently tested</w:t>
      </w:r>
    </w:p>
    <w:p w14:paraId="6AE0C909" w14:textId="77777777" w:rsidR="0013655E" w:rsidRPr="0013655E" w:rsidRDefault="0013655E" w:rsidP="0013655E">
      <w:pPr>
        <w:numPr>
          <w:ilvl w:val="0"/>
          <w:numId w:val="14"/>
        </w:numPr>
      </w:pPr>
      <w:r w:rsidRPr="0013655E">
        <w:t>Whether they operated effectively over time</w:t>
      </w:r>
    </w:p>
    <w:p w14:paraId="4C8D612B" w14:textId="77777777" w:rsidR="0013655E" w:rsidRPr="0013655E" w:rsidRDefault="0013655E" w:rsidP="0013655E">
      <w:pPr>
        <w:numPr>
          <w:ilvl w:val="0"/>
          <w:numId w:val="14"/>
        </w:numPr>
      </w:pPr>
      <w:r w:rsidRPr="0013655E">
        <w:t>Whether any exceptions or deviations were identified</w:t>
      </w:r>
    </w:p>
    <w:p w14:paraId="66D5950C" w14:textId="77777777" w:rsidR="0013655E" w:rsidRPr="0013655E" w:rsidRDefault="0013655E" w:rsidP="0013655E">
      <w:r w:rsidRPr="0013655E">
        <w:t>This layered approach ensures that conclusions are not based purely on vendor statements, but on independent assurance and real control performance.</w:t>
      </w:r>
    </w:p>
    <w:p w14:paraId="2AC3D2D0" w14:textId="77777777" w:rsidR="0013655E" w:rsidRPr="0013655E" w:rsidRDefault="0013655E" w:rsidP="0013655E">
      <w:r w:rsidRPr="0013655E">
        <w:pict w14:anchorId="0BAFBB6D">
          <v:rect id="_x0000_i1284" style="width:0;height:1.5pt" o:hralign="center" o:hrstd="t" o:hr="t" fillcolor="#a0a0a0" stroked="f"/>
        </w:pict>
      </w:r>
    </w:p>
    <w:p w14:paraId="357B4D28" w14:textId="22894F40" w:rsidR="0013655E" w:rsidRPr="0013655E" w:rsidRDefault="0013655E" w:rsidP="0013655E">
      <w:pPr>
        <w:rPr>
          <w:b/>
          <w:bCs/>
        </w:rPr>
      </w:pPr>
      <w:r w:rsidRPr="0013655E">
        <w:rPr>
          <w:b/>
          <w:bCs/>
        </w:rPr>
        <w:t xml:space="preserve">4. </w:t>
      </w:r>
      <w:r w:rsidR="006079FA" w:rsidRPr="0013655E">
        <w:rPr>
          <w:b/>
          <w:bCs/>
        </w:rPr>
        <w:t>Overall,</w:t>
      </w:r>
      <w:r w:rsidRPr="0013655E">
        <w:rPr>
          <w:b/>
          <w:bCs/>
        </w:rPr>
        <w:t xml:space="preserve"> SOC 2 Perspective</w:t>
      </w:r>
    </w:p>
    <w:p w14:paraId="564BB7F8" w14:textId="77777777" w:rsidR="0013655E" w:rsidRPr="0013655E" w:rsidRDefault="0013655E" w:rsidP="0013655E">
      <w:r w:rsidRPr="0013655E">
        <w:t>The SOC 2 Type II report presents a generally positive view of the vendor’s control environment. Most controls are described as both well-designed and operating effectively over the assessment period.</w:t>
      </w:r>
    </w:p>
    <w:p w14:paraId="31DD8707" w14:textId="77777777" w:rsidR="0013655E" w:rsidRPr="0013655E" w:rsidRDefault="0013655E" w:rsidP="0013655E">
      <w:r w:rsidRPr="0013655E">
        <w:t>However, one exception was identified in relation to privileged access reviews, where a quarterly review was not completed within the expected timeframe.</w:t>
      </w:r>
    </w:p>
    <w:p w14:paraId="1A91DA88" w14:textId="79189CCD" w:rsidR="0013655E" w:rsidRPr="0013655E" w:rsidRDefault="0013655E" w:rsidP="0013655E">
      <w:r w:rsidRPr="0013655E">
        <w:t xml:space="preserve">While this may appear to be a minor operational delay, it is important to understand that access reviews are </w:t>
      </w:r>
      <w:r w:rsidR="006079FA" w:rsidRPr="0013655E">
        <w:t>critical</w:t>
      </w:r>
      <w:r w:rsidRPr="0013655E">
        <w:t xml:space="preserve"> security control, especially in cloud environments. Even small inconsistencies in such controls can increase the risk of unauthorized or excessive access persisting unnoticed.</w:t>
      </w:r>
    </w:p>
    <w:p w14:paraId="687955B7" w14:textId="17369C4B" w:rsidR="0013655E" w:rsidRPr="0013655E" w:rsidRDefault="0013655E" w:rsidP="0013655E">
      <w:r w:rsidRPr="0013655E">
        <w:t xml:space="preserve">This exception therefore serves as an important </w:t>
      </w:r>
      <w:r w:rsidR="006079FA" w:rsidRPr="0013655E">
        <w:t>sign</w:t>
      </w:r>
      <w:r w:rsidRPr="0013655E">
        <w:t xml:space="preserve"> that, although the control framework is strong overall, execution is not always consistent.</w:t>
      </w:r>
    </w:p>
    <w:p w14:paraId="11DA442C" w14:textId="77777777" w:rsidR="0013655E" w:rsidRPr="0013655E" w:rsidRDefault="0013655E" w:rsidP="0013655E">
      <w:r w:rsidRPr="0013655E">
        <w:pict w14:anchorId="6FB5F838">
          <v:rect id="_x0000_i1285" style="width:0;height:1.5pt" o:hralign="center" o:hrstd="t" o:hr="t" fillcolor="#a0a0a0" stroked="f"/>
        </w:pict>
      </w:r>
    </w:p>
    <w:p w14:paraId="7D75F4AB" w14:textId="77777777" w:rsidR="0013655E" w:rsidRPr="0013655E" w:rsidRDefault="0013655E" w:rsidP="0013655E">
      <w:pPr>
        <w:rPr>
          <w:b/>
          <w:bCs/>
        </w:rPr>
      </w:pPr>
      <w:r w:rsidRPr="0013655E">
        <w:rPr>
          <w:b/>
          <w:bCs/>
        </w:rPr>
        <w:t>5. Key Observations and Risk Areas</w:t>
      </w:r>
    </w:p>
    <w:p w14:paraId="3138362A" w14:textId="77777777" w:rsidR="0013655E" w:rsidRPr="0013655E" w:rsidRDefault="0013655E" w:rsidP="0013655E">
      <w:pPr>
        <w:rPr>
          <w:b/>
          <w:bCs/>
        </w:rPr>
      </w:pPr>
      <w:r w:rsidRPr="0013655E">
        <w:rPr>
          <w:b/>
          <w:bCs/>
        </w:rPr>
        <w:t>5.1 Access Control – Inconsistent Execution</w:t>
      </w:r>
    </w:p>
    <w:p w14:paraId="5482AE6A" w14:textId="77777777" w:rsidR="0013655E" w:rsidRPr="0013655E" w:rsidRDefault="0013655E" w:rsidP="0013655E">
      <w:r w:rsidRPr="0013655E">
        <w:t xml:space="preserve">Access management is one of the most sensitive areas in any system, and while </w:t>
      </w:r>
      <w:proofErr w:type="spellStart"/>
      <w:r w:rsidRPr="0013655E">
        <w:t>CloudServe</w:t>
      </w:r>
      <w:proofErr w:type="spellEnd"/>
      <w:r w:rsidRPr="0013655E">
        <w:t xml:space="preserve"> has implemented controls such as MFA and role-based access, the effectiveness of these controls depends heavily on periodic review.</w:t>
      </w:r>
    </w:p>
    <w:p w14:paraId="346A0B73" w14:textId="77777777" w:rsidR="0013655E" w:rsidRPr="0013655E" w:rsidRDefault="0013655E" w:rsidP="0013655E">
      <w:r w:rsidRPr="0013655E">
        <w:t>In this case:</w:t>
      </w:r>
    </w:p>
    <w:p w14:paraId="634606AE" w14:textId="77777777" w:rsidR="0013655E" w:rsidRPr="0013655E" w:rsidRDefault="0013655E" w:rsidP="0013655E">
      <w:pPr>
        <w:numPr>
          <w:ilvl w:val="0"/>
          <w:numId w:val="15"/>
        </w:numPr>
      </w:pPr>
      <w:r w:rsidRPr="0013655E">
        <w:t>The vendor did not provide evidence of completed access reviews</w:t>
      </w:r>
    </w:p>
    <w:p w14:paraId="107B1B21" w14:textId="77777777" w:rsidR="0013655E" w:rsidRPr="0013655E" w:rsidRDefault="0013655E" w:rsidP="0013655E">
      <w:pPr>
        <w:numPr>
          <w:ilvl w:val="0"/>
          <w:numId w:val="15"/>
        </w:numPr>
      </w:pPr>
      <w:r w:rsidRPr="0013655E">
        <w:lastRenderedPageBreak/>
        <w:t>SOC 2 identified a delay in performing one quarterly review</w:t>
      </w:r>
    </w:p>
    <w:p w14:paraId="5DCC7344" w14:textId="7378297C" w:rsidR="0013655E" w:rsidRPr="0013655E" w:rsidRDefault="0013655E" w:rsidP="0013655E">
      <w:r w:rsidRPr="0013655E">
        <w:t xml:space="preserve">This suggests that the process </w:t>
      </w:r>
      <w:r w:rsidR="006079FA" w:rsidRPr="0013655E">
        <w:t>exists but</w:t>
      </w:r>
      <w:r w:rsidRPr="0013655E">
        <w:t xml:space="preserve"> is not always followed </w:t>
      </w:r>
      <w:proofErr w:type="gramStart"/>
      <w:r w:rsidRPr="0013655E">
        <w:t>with</w:t>
      </w:r>
      <w:proofErr w:type="gramEnd"/>
      <w:r w:rsidRPr="0013655E">
        <w:t xml:space="preserve"> the required discipline.</w:t>
      </w:r>
    </w:p>
    <w:p w14:paraId="076ECCFA" w14:textId="77777777" w:rsidR="0013655E" w:rsidRPr="0013655E" w:rsidRDefault="0013655E" w:rsidP="0013655E">
      <w:r w:rsidRPr="0013655E">
        <w:rPr>
          <w:b/>
          <w:bCs/>
        </w:rPr>
        <w:t>Why this matters:</w:t>
      </w:r>
      <w:r w:rsidRPr="0013655E">
        <w:br/>
        <w:t>If access reviews are delayed or skipped, users who no longer require access — particularly privileged users — may continue to retain it. Over time, this significantly increases the attack surface.</w:t>
      </w:r>
    </w:p>
    <w:p w14:paraId="40BA3B0F" w14:textId="77777777" w:rsidR="0013655E" w:rsidRPr="0013655E" w:rsidRDefault="0013655E" w:rsidP="0013655E">
      <w:r w:rsidRPr="0013655E">
        <w:pict w14:anchorId="33008251">
          <v:rect id="_x0000_i1286" style="width:0;height:1.5pt" o:hralign="center" o:hrstd="t" o:hr="t" fillcolor="#a0a0a0" stroked="f"/>
        </w:pict>
      </w:r>
    </w:p>
    <w:p w14:paraId="437876AE" w14:textId="77777777" w:rsidR="0013655E" w:rsidRPr="0013655E" w:rsidRDefault="0013655E" w:rsidP="0013655E">
      <w:pPr>
        <w:rPr>
          <w:b/>
          <w:bCs/>
        </w:rPr>
      </w:pPr>
      <w:r w:rsidRPr="0013655E">
        <w:rPr>
          <w:b/>
          <w:bCs/>
        </w:rPr>
        <w:t>5.2 Cross-Border Data Governance – Missing Control Layer</w:t>
      </w:r>
    </w:p>
    <w:p w14:paraId="7F6DCEF1" w14:textId="77777777" w:rsidR="0013655E" w:rsidRPr="0013655E" w:rsidRDefault="0013655E" w:rsidP="0013655E">
      <w:r w:rsidRPr="0013655E">
        <w:t>The platform operates across India and Singapore, but there is no documented process for assessing or approving cross-border data transfers.</w:t>
      </w:r>
    </w:p>
    <w:p w14:paraId="32A8FCAC" w14:textId="77777777" w:rsidR="0013655E" w:rsidRPr="0013655E" w:rsidRDefault="0013655E" w:rsidP="0013655E">
      <w:r w:rsidRPr="0013655E">
        <w:t>This is not just a documentation gap — it reflects a missing layer of governance.</w:t>
      </w:r>
    </w:p>
    <w:p w14:paraId="17F2158C" w14:textId="77777777" w:rsidR="0013655E" w:rsidRPr="0013655E" w:rsidRDefault="0013655E" w:rsidP="0013655E">
      <w:r w:rsidRPr="0013655E">
        <w:rPr>
          <w:b/>
          <w:bCs/>
        </w:rPr>
        <w:t>Why this matters:</w:t>
      </w:r>
      <w:r w:rsidRPr="0013655E">
        <w:br/>
        <w:t>Different regions have different regulatory expectations around data protection. Without a formal assessment process, there is a risk that data transfers may not fully comply with applicable laws or contractual obligations.</w:t>
      </w:r>
    </w:p>
    <w:p w14:paraId="3D316524" w14:textId="77777777" w:rsidR="0013655E" w:rsidRPr="0013655E" w:rsidRDefault="0013655E" w:rsidP="0013655E">
      <w:r w:rsidRPr="0013655E">
        <w:t xml:space="preserve">Notably, this area is </w:t>
      </w:r>
      <w:r w:rsidRPr="0013655E">
        <w:rPr>
          <w:b/>
          <w:bCs/>
        </w:rPr>
        <w:t>not covered in the SOC 2 report</w:t>
      </w:r>
      <w:r w:rsidRPr="0013655E">
        <w:t>, meaning it remains unvalidated.</w:t>
      </w:r>
    </w:p>
    <w:p w14:paraId="2B01E248" w14:textId="77777777" w:rsidR="0013655E" w:rsidRPr="0013655E" w:rsidRDefault="0013655E" w:rsidP="0013655E">
      <w:r w:rsidRPr="0013655E">
        <w:pict w14:anchorId="35942E93">
          <v:rect id="_x0000_i1287" style="width:0;height:1.5pt" o:hralign="center" o:hrstd="t" o:hr="t" fillcolor="#a0a0a0" stroked="f"/>
        </w:pict>
      </w:r>
    </w:p>
    <w:p w14:paraId="0252B396" w14:textId="77777777" w:rsidR="0013655E" w:rsidRPr="0013655E" w:rsidRDefault="0013655E" w:rsidP="0013655E">
      <w:pPr>
        <w:rPr>
          <w:b/>
          <w:bCs/>
        </w:rPr>
      </w:pPr>
      <w:r w:rsidRPr="0013655E">
        <w:rPr>
          <w:b/>
          <w:bCs/>
        </w:rPr>
        <w:t>5.3 Monitoring and Detection – Lack of Operational Clarity</w:t>
      </w:r>
    </w:p>
    <w:p w14:paraId="39C02349" w14:textId="77777777" w:rsidR="0013655E" w:rsidRPr="0013655E" w:rsidRDefault="0013655E" w:rsidP="0013655E">
      <w:r w:rsidRPr="0013655E">
        <w:t>The vendor has implemented logging and SIEM capabilities, which is a positive indicator. However, there is limited clarity around how these systems are operated in practice.</w:t>
      </w:r>
    </w:p>
    <w:p w14:paraId="1B167E4B" w14:textId="77777777" w:rsidR="0013655E" w:rsidRPr="0013655E" w:rsidRDefault="0013655E" w:rsidP="0013655E">
      <w:r w:rsidRPr="0013655E">
        <w:t>Specifically, there is no clear evidence of:</w:t>
      </w:r>
    </w:p>
    <w:p w14:paraId="48F7B466" w14:textId="7DF6416E" w:rsidR="0013655E" w:rsidRPr="0013655E" w:rsidRDefault="0013655E" w:rsidP="0013655E">
      <w:pPr>
        <w:numPr>
          <w:ilvl w:val="0"/>
          <w:numId w:val="16"/>
        </w:numPr>
      </w:pPr>
      <w:r w:rsidRPr="0013655E">
        <w:t xml:space="preserve">Continuous </w:t>
      </w:r>
      <w:r w:rsidR="00DD02B8">
        <w:t>M</w:t>
      </w:r>
      <w:r w:rsidRPr="0013655E">
        <w:t>onitoring</w:t>
      </w:r>
    </w:p>
    <w:p w14:paraId="61D08CE3" w14:textId="77777777" w:rsidR="0013655E" w:rsidRPr="0013655E" w:rsidRDefault="0013655E" w:rsidP="0013655E">
      <w:pPr>
        <w:numPr>
          <w:ilvl w:val="0"/>
          <w:numId w:val="16"/>
        </w:numPr>
      </w:pPr>
      <w:r w:rsidRPr="0013655E">
        <w:t>Defined alert response timelines or SLAs</w:t>
      </w:r>
    </w:p>
    <w:p w14:paraId="18B9C685" w14:textId="77777777" w:rsidR="0013655E" w:rsidRPr="0013655E" w:rsidRDefault="0013655E" w:rsidP="0013655E">
      <w:r w:rsidRPr="0013655E">
        <w:rPr>
          <w:b/>
          <w:bCs/>
        </w:rPr>
        <w:t>Why this matters:</w:t>
      </w:r>
      <w:r w:rsidRPr="0013655E">
        <w:br/>
        <w:t>Security tools are only as effective as the processes behind them. Without clear ownership and response expectations, alerts may not be acted upon in time, reducing the overall effectiveness of the monitoring function.</w:t>
      </w:r>
    </w:p>
    <w:p w14:paraId="2A019EEE" w14:textId="77777777" w:rsidR="0013655E" w:rsidRPr="0013655E" w:rsidRDefault="0013655E" w:rsidP="0013655E">
      <w:r w:rsidRPr="0013655E">
        <w:pict w14:anchorId="10CB8C61">
          <v:rect id="_x0000_i1288" style="width:0;height:1.5pt" o:hralign="center" o:hrstd="t" o:hr="t" fillcolor="#a0a0a0" stroked="f"/>
        </w:pict>
      </w:r>
    </w:p>
    <w:p w14:paraId="1B3AD64C" w14:textId="77777777" w:rsidR="0013655E" w:rsidRPr="0013655E" w:rsidRDefault="0013655E" w:rsidP="0013655E">
      <w:pPr>
        <w:rPr>
          <w:b/>
          <w:bCs/>
        </w:rPr>
      </w:pPr>
      <w:r w:rsidRPr="0013655E">
        <w:rPr>
          <w:b/>
          <w:bCs/>
        </w:rPr>
        <w:t>5.4 Incident Response – Reactive but Not Proactively Tested</w:t>
      </w:r>
    </w:p>
    <w:p w14:paraId="3B3BE02D" w14:textId="7F68B181" w:rsidR="0013655E" w:rsidRPr="0013655E" w:rsidRDefault="0013655E" w:rsidP="0013655E">
      <w:r w:rsidRPr="0013655E">
        <w:lastRenderedPageBreak/>
        <w:t xml:space="preserve">The incident response process appears to be </w:t>
      </w:r>
      <w:r w:rsidR="004B0339" w:rsidRPr="0013655E">
        <w:t>well-defined,</w:t>
      </w:r>
      <w:r w:rsidRPr="0013655E">
        <w:t xml:space="preserve"> and SOC 2 confirms that incidents are handled effectively when they occur.</w:t>
      </w:r>
    </w:p>
    <w:p w14:paraId="0313EB87" w14:textId="77777777" w:rsidR="0013655E" w:rsidRPr="0013655E" w:rsidRDefault="0013655E" w:rsidP="0013655E">
      <w:r w:rsidRPr="0013655E">
        <w:t>However, there is no evidence that the process is proactively tested through simulations or tabletop exercises.</w:t>
      </w:r>
    </w:p>
    <w:p w14:paraId="2E3F50F8" w14:textId="77777777" w:rsidR="0013655E" w:rsidRPr="0013655E" w:rsidRDefault="0013655E" w:rsidP="0013655E">
      <w:r w:rsidRPr="0013655E">
        <w:rPr>
          <w:b/>
          <w:bCs/>
        </w:rPr>
        <w:t>Why this matters:</w:t>
      </w:r>
      <w:r w:rsidRPr="0013655E">
        <w:br/>
        <w:t>Handling real incidents is important, but without regular testing, there is no guarantee that teams will respond effectively under pressure or in more complex scenarios. Testing helps uncover gaps that may not be visible during routine operations.</w:t>
      </w:r>
    </w:p>
    <w:p w14:paraId="4E11F30B" w14:textId="77777777" w:rsidR="0013655E" w:rsidRPr="0013655E" w:rsidRDefault="0013655E" w:rsidP="0013655E">
      <w:r w:rsidRPr="0013655E">
        <w:pict w14:anchorId="6BD529F2">
          <v:rect id="_x0000_i1289" style="width:0;height:1.5pt" o:hralign="center" o:hrstd="t" o:hr="t" fillcolor="#a0a0a0" stroked="f"/>
        </w:pict>
      </w:r>
    </w:p>
    <w:p w14:paraId="21A5B946" w14:textId="77777777" w:rsidR="0013655E" w:rsidRPr="0013655E" w:rsidRDefault="0013655E" w:rsidP="0013655E">
      <w:pPr>
        <w:rPr>
          <w:b/>
          <w:bCs/>
        </w:rPr>
      </w:pPr>
      <w:r w:rsidRPr="0013655E">
        <w:rPr>
          <w:b/>
          <w:bCs/>
        </w:rPr>
        <w:t>5.5 Data Protection – Partial Visibility</w:t>
      </w:r>
    </w:p>
    <w:p w14:paraId="6DC188D2" w14:textId="77777777" w:rsidR="0013655E" w:rsidRPr="0013655E" w:rsidRDefault="0013655E" w:rsidP="0013655E">
      <w:r w:rsidRPr="0013655E">
        <w:t>Encryption controls are generally well implemented, particularly for data in transit and at rest within primary systems.</w:t>
      </w:r>
    </w:p>
    <w:p w14:paraId="34AACAB0" w14:textId="77777777" w:rsidR="0013655E" w:rsidRPr="0013655E" w:rsidRDefault="0013655E" w:rsidP="0013655E">
      <w:r w:rsidRPr="0013655E">
        <w:t>However:</w:t>
      </w:r>
    </w:p>
    <w:p w14:paraId="172E9915" w14:textId="77777777" w:rsidR="0013655E" w:rsidRPr="0013655E" w:rsidRDefault="0013655E" w:rsidP="0013655E">
      <w:pPr>
        <w:numPr>
          <w:ilvl w:val="0"/>
          <w:numId w:val="17"/>
        </w:numPr>
      </w:pPr>
      <w:r w:rsidRPr="0013655E">
        <w:t>Backup encryption is not clearly evidenced</w:t>
      </w:r>
    </w:p>
    <w:p w14:paraId="71B3779E" w14:textId="77777777" w:rsidR="0013655E" w:rsidRPr="0013655E" w:rsidRDefault="0013655E" w:rsidP="0013655E">
      <w:pPr>
        <w:numPr>
          <w:ilvl w:val="0"/>
          <w:numId w:val="17"/>
        </w:numPr>
      </w:pPr>
      <w:r w:rsidRPr="0013655E">
        <w:t>Data retention enforcement (especially deletion) is not fully validated</w:t>
      </w:r>
    </w:p>
    <w:p w14:paraId="0D00E30F" w14:textId="77777777" w:rsidR="0013655E" w:rsidRPr="0013655E" w:rsidRDefault="0013655E" w:rsidP="0013655E">
      <w:r w:rsidRPr="0013655E">
        <w:rPr>
          <w:b/>
          <w:bCs/>
        </w:rPr>
        <w:t>Why this matters:</w:t>
      </w:r>
      <w:r w:rsidRPr="0013655E">
        <w:br/>
        <w:t xml:space="preserve">Backups often contain the same sensitive data as production systems. If </w:t>
      </w:r>
      <w:proofErr w:type="gramStart"/>
      <w:r w:rsidRPr="0013655E">
        <w:t>not</w:t>
      </w:r>
      <w:proofErr w:type="gramEnd"/>
      <w:r w:rsidRPr="0013655E">
        <w:t xml:space="preserve"> properly protected or deleted when no longer needed, they can become a significant point of exposure.</w:t>
      </w:r>
    </w:p>
    <w:p w14:paraId="76137742" w14:textId="77777777" w:rsidR="0013655E" w:rsidRPr="0013655E" w:rsidRDefault="0013655E" w:rsidP="0013655E">
      <w:r w:rsidRPr="0013655E">
        <w:pict w14:anchorId="6BB71868">
          <v:rect id="_x0000_i1290" style="width:0;height:1.5pt" o:hralign="center" o:hrstd="t" o:hr="t" fillcolor="#a0a0a0" stroked="f"/>
        </w:pict>
      </w:r>
    </w:p>
    <w:p w14:paraId="63D323BF" w14:textId="77777777" w:rsidR="0013655E" w:rsidRPr="0013655E" w:rsidRDefault="0013655E" w:rsidP="0013655E">
      <w:pPr>
        <w:rPr>
          <w:b/>
          <w:bCs/>
        </w:rPr>
      </w:pPr>
      <w:r w:rsidRPr="0013655E">
        <w:rPr>
          <w:b/>
          <w:bCs/>
        </w:rPr>
        <w:t>5.6 Logging and Auditability – Control Exists, Governance Weak</w:t>
      </w:r>
    </w:p>
    <w:p w14:paraId="360F517F" w14:textId="77777777" w:rsidR="0013655E" w:rsidRPr="0013655E" w:rsidRDefault="0013655E" w:rsidP="0013655E">
      <w:r w:rsidRPr="0013655E">
        <w:t>Logs are generated and centralized, and SOC 2 confirms that logging mechanisms are in place.</w:t>
      </w:r>
    </w:p>
    <w:p w14:paraId="04B63953" w14:textId="77777777" w:rsidR="0013655E" w:rsidRPr="0013655E" w:rsidRDefault="0013655E" w:rsidP="0013655E">
      <w:r w:rsidRPr="0013655E">
        <w:t>That said:</w:t>
      </w:r>
    </w:p>
    <w:p w14:paraId="5DC1E3DE" w14:textId="77777777" w:rsidR="0013655E" w:rsidRPr="0013655E" w:rsidRDefault="0013655E" w:rsidP="0013655E">
      <w:pPr>
        <w:numPr>
          <w:ilvl w:val="0"/>
          <w:numId w:val="18"/>
        </w:numPr>
      </w:pPr>
      <w:r w:rsidRPr="0013655E">
        <w:t>There is no clearly defined log review process</w:t>
      </w:r>
    </w:p>
    <w:p w14:paraId="724F96C2" w14:textId="77777777" w:rsidR="0013655E" w:rsidRPr="0013655E" w:rsidRDefault="0013655E" w:rsidP="0013655E">
      <w:pPr>
        <w:numPr>
          <w:ilvl w:val="0"/>
          <w:numId w:val="18"/>
        </w:numPr>
      </w:pPr>
      <w:r w:rsidRPr="0013655E">
        <w:t>Log immutability is only partially implemented</w:t>
      </w:r>
    </w:p>
    <w:p w14:paraId="72578BE1" w14:textId="77777777" w:rsidR="0013655E" w:rsidRPr="0013655E" w:rsidRDefault="0013655E" w:rsidP="0013655E">
      <w:r w:rsidRPr="0013655E">
        <w:rPr>
          <w:b/>
          <w:bCs/>
        </w:rPr>
        <w:t>Why this matters:</w:t>
      </w:r>
      <w:r w:rsidRPr="0013655E">
        <w:br/>
        <w:t>Logs are critical for detecting incidents and performing investigations. If they are not regularly reviewed — or if they can be altered — their value is significantly reduced.</w:t>
      </w:r>
    </w:p>
    <w:p w14:paraId="239E3D3D" w14:textId="77777777" w:rsidR="0013655E" w:rsidRPr="0013655E" w:rsidRDefault="0013655E" w:rsidP="0013655E">
      <w:r w:rsidRPr="0013655E">
        <w:pict w14:anchorId="6A303268">
          <v:rect id="_x0000_i1291" style="width:0;height:1.5pt" o:hralign="center" o:hrstd="t" o:hr="t" fillcolor="#a0a0a0" stroked="f"/>
        </w:pict>
      </w:r>
    </w:p>
    <w:p w14:paraId="08A00270" w14:textId="77777777" w:rsidR="0013655E" w:rsidRPr="0013655E" w:rsidRDefault="0013655E" w:rsidP="0013655E">
      <w:pPr>
        <w:rPr>
          <w:b/>
          <w:bCs/>
        </w:rPr>
      </w:pPr>
      <w:r w:rsidRPr="0013655E">
        <w:rPr>
          <w:b/>
          <w:bCs/>
        </w:rPr>
        <w:lastRenderedPageBreak/>
        <w:t>5.7 Third-Party Risk – Limited Visibility Beyond AWS</w:t>
      </w:r>
    </w:p>
    <w:p w14:paraId="7D8A3BC8" w14:textId="77777777" w:rsidR="0013655E" w:rsidRPr="0013655E" w:rsidRDefault="0013655E" w:rsidP="0013655E">
      <w:proofErr w:type="spellStart"/>
      <w:r w:rsidRPr="0013655E">
        <w:t>CloudServe</w:t>
      </w:r>
      <w:proofErr w:type="spellEnd"/>
      <w:r w:rsidRPr="0013655E">
        <w:t xml:space="preserve"> relies on AWS for infrastructure, which is expected and acceptable given AWS’s strong assurance posture.</w:t>
      </w:r>
    </w:p>
    <w:p w14:paraId="3B24513B" w14:textId="77777777" w:rsidR="0013655E" w:rsidRPr="0013655E" w:rsidRDefault="0013655E" w:rsidP="0013655E">
      <w:r w:rsidRPr="0013655E">
        <w:t>However:</w:t>
      </w:r>
    </w:p>
    <w:p w14:paraId="7B4D1BB9" w14:textId="77777777" w:rsidR="0013655E" w:rsidRPr="0013655E" w:rsidRDefault="0013655E" w:rsidP="0013655E">
      <w:pPr>
        <w:numPr>
          <w:ilvl w:val="0"/>
          <w:numId w:val="19"/>
        </w:numPr>
      </w:pPr>
      <w:r w:rsidRPr="0013655E">
        <w:t>Only AWS is disclosed as a sub-processor</w:t>
      </w:r>
    </w:p>
    <w:p w14:paraId="582D797F" w14:textId="77777777" w:rsidR="0013655E" w:rsidRPr="0013655E" w:rsidRDefault="0013655E" w:rsidP="0013655E">
      <w:pPr>
        <w:numPr>
          <w:ilvl w:val="0"/>
          <w:numId w:val="19"/>
        </w:numPr>
      </w:pPr>
      <w:r w:rsidRPr="0013655E">
        <w:t>Other potential third parties are not clearly identified</w:t>
      </w:r>
    </w:p>
    <w:p w14:paraId="639AEF8D" w14:textId="77777777" w:rsidR="0013655E" w:rsidRPr="0013655E" w:rsidRDefault="0013655E" w:rsidP="0013655E">
      <w:pPr>
        <w:numPr>
          <w:ilvl w:val="0"/>
          <w:numId w:val="19"/>
        </w:numPr>
      </w:pPr>
      <w:r w:rsidRPr="0013655E">
        <w:t>There is limited evidence of ongoing supplier monitoring</w:t>
      </w:r>
    </w:p>
    <w:p w14:paraId="49E4DC13" w14:textId="77777777" w:rsidR="0013655E" w:rsidRPr="0013655E" w:rsidRDefault="0013655E" w:rsidP="0013655E">
      <w:r w:rsidRPr="0013655E">
        <w:rPr>
          <w:b/>
          <w:bCs/>
        </w:rPr>
        <w:t>Why this matters:</w:t>
      </w:r>
      <w:r w:rsidRPr="0013655E">
        <w:br/>
        <w:t>Third-party risk is often one of the least visible but most impactful areas. Without full transparency and monitoring, risks introduced by external vendors may go unmanaged.</w:t>
      </w:r>
    </w:p>
    <w:p w14:paraId="6BDB954C" w14:textId="77777777" w:rsidR="0013655E" w:rsidRPr="0013655E" w:rsidRDefault="0013655E" w:rsidP="0013655E">
      <w:r w:rsidRPr="0013655E">
        <w:pict w14:anchorId="560ABDE2">
          <v:rect id="_x0000_i1292" style="width:0;height:1.5pt" o:hralign="center" o:hrstd="t" o:hr="t" fillcolor="#a0a0a0" stroked="f"/>
        </w:pict>
      </w:r>
    </w:p>
    <w:p w14:paraId="61FB80FD" w14:textId="77777777" w:rsidR="0013655E" w:rsidRPr="0013655E" w:rsidRDefault="0013655E" w:rsidP="0013655E">
      <w:pPr>
        <w:rPr>
          <w:b/>
          <w:bCs/>
        </w:rPr>
      </w:pPr>
      <w:r w:rsidRPr="0013655E">
        <w:rPr>
          <w:b/>
          <w:bCs/>
        </w:rPr>
        <w:t>5.8 Disaster Recovery – Capability Exists, Transparency Limited</w:t>
      </w:r>
    </w:p>
    <w:p w14:paraId="089057D5" w14:textId="77777777" w:rsidR="0013655E" w:rsidRPr="0013655E" w:rsidRDefault="0013655E" w:rsidP="0013655E">
      <w:r w:rsidRPr="0013655E">
        <w:t>SOC 2 confirms that backup and disaster recovery processes are in place and tested.</w:t>
      </w:r>
    </w:p>
    <w:p w14:paraId="24864BC4" w14:textId="77777777" w:rsidR="0013655E" w:rsidRPr="0013655E" w:rsidRDefault="0013655E" w:rsidP="0013655E">
      <w:r w:rsidRPr="0013655E">
        <w:t>However, the vendor has not shared detailed DR test results.</w:t>
      </w:r>
    </w:p>
    <w:p w14:paraId="4F155952" w14:textId="77777777" w:rsidR="0013655E" w:rsidRPr="0013655E" w:rsidRDefault="0013655E" w:rsidP="0013655E">
      <w:r w:rsidRPr="0013655E">
        <w:rPr>
          <w:b/>
          <w:bCs/>
        </w:rPr>
        <w:t>Why this matters:</w:t>
      </w:r>
      <w:r w:rsidRPr="0013655E">
        <w:br/>
        <w:t>From a customer perspective, visibility is important. Even if controls exist, lack of transparency can reduce confidence in the vendor’s ability to recover from major disruptions.</w:t>
      </w:r>
    </w:p>
    <w:p w14:paraId="011084B2" w14:textId="77777777" w:rsidR="0013655E" w:rsidRPr="0013655E" w:rsidRDefault="0013655E" w:rsidP="0013655E">
      <w:r w:rsidRPr="0013655E">
        <w:pict w14:anchorId="75237BD6">
          <v:rect id="_x0000_i1293" style="width:0;height:1.5pt" o:hralign="center" o:hrstd="t" o:hr="t" fillcolor="#a0a0a0" stroked="f"/>
        </w:pict>
      </w:r>
    </w:p>
    <w:p w14:paraId="71BF5556" w14:textId="77777777" w:rsidR="0013655E" w:rsidRPr="0013655E" w:rsidRDefault="0013655E" w:rsidP="0013655E">
      <w:pPr>
        <w:rPr>
          <w:b/>
          <w:bCs/>
        </w:rPr>
      </w:pPr>
      <w:r w:rsidRPr="0013655E">
        <w:rPr>
          <w:b/>
          <w:bCs/>
        </w:rPr>
        <w:t>6. Areas of Strength</w:t>
      </w:r>
    </w:p>
    <w:p w14:paraId="5439B8AE" w14:textId="77777777" w:rsidR="0013655E" w:rsidRPr="0013655E" w:rsidRDefault="0013655E" w:rsidP="0013655E">
      <w:r w:rsidRPr="0013655E">
        <w:t>It is important to highlight that the vendor demonstrates several strong security practices:</w:t>
      </w:r>
    </w:p>
    <w:p w14:paraId="456EDAEE" w14:textId="77777777" w:rsidR="0013655E" w:rsidRPr="0013655E" w:rsidRDefault="0013655E" w:rsidP="0013655E">
      <w:pPr>
        <w:numPr>
          <w:ilvl w:val="0"/>
          <w:numId w:val="20"/>
        </w:numPr>
      </w:pPr>
      <w:r w:rsidRPr="0013655E">
        <w:t>Multi-factor authentication is consistently enforced</w:t>
      </w:r>
    </w:p>
    <w:p w14:paraId="48D1AFA2" w14:textId="77777777" w:rsidR="0013655E" w:rsidRPr="0013655E" w:rsidRDefault="0013655E" w:rsidP="0013655E">
      <w:pPr>
        <w:numPr>
          <w:ilvl w:val="0"/>
          <w:numId w:val="20"/>
        </w:numPr>
      </w:pPr>
      <w:r w:rsidRPr="0013655E">
        <w:t>Change management processes are structured and well controlled</w:t>
      </w:r>
    </w:p>
    <w:p w14:paraId="2F4BA528" w14:textId="77777777" w:rsidR="0013655E" w:rsidRPr="0013655E" w:rsidRDefault="0013655E" w:rsidP="0013655E">
      <w:pPr>
        <w:numPr>
          <w:ilvl w:val="0"/>
          <w:numId w:val="20"/>
        </w:numPr>
      </w:pPr>
      <w:r w:rsidRPr="0013655E">
        <w:t>Vulnerability scanning and penetration testing are regularly performed</w:t>
      </w:r>
    </w:p>
    <w:p w14:paraId="040BB811" w14:textId="77777777" w:rsidR="0013655E" w:rsidRPr="0013655E" w:rsidRDefault="0013655E" w:rsidP="0013655E">
      <w:pPr>
        <w:numPr>
          <w:ilvl w:val="0"/>
          <w:numId w:val="20"/>
        </w:numPr>
      </w:pPr>
      <w:r w:rsidRPr="0013655E">
        <w:t>Incident handling processes are active and functional</w:t>
      </w:r>
    </w:p>
    <w:p w14:paraId="50A1110F" w14:textId="77777777" w:rsidR="0013655E" w:rsidRPr="0013655E" w:rsidRDefault="0013655E" w:rsidP="0013655E">
      <w:pPr>
        <w:numPr>
          <w:ilvl w:val="0"/>
          <w:numId w:val="20"/>
        </w:numPr>
      </w:pPr>
      <w:r w:rsidRPr="0013655E">
        <w:t>Backup processes are implemented and operational</w:t>
      </w:r>
    </w:p>
    <w:p w14:paraId="4E183EB8" w14:textId="77777777" w:rsidR="0013655E" w:rsidRPr="0013655E" w:rsidRDefault="0013655E" w:rsidP="0013655E">
      <w:pPr>
        <w:numPr>
          <w:ilvl w:val="0"/>
          <w:numId w:val="20"/>
        </w:numPr>
      </w:pPr>
      <w:r w:rsidRPr="0013655E">
        <w:t>Encryption is widely adopted across systems</w:t>
      </w:r>
    </w:p>
    <w:p w14:paraId="132B039F" w14:textId="77777777" w:rsidR="0013655E" w:rsidRPr="0013655E" w:rsidRDefault="0013655E" w:rsidP="0013655E">
      <w:r w:rsidRPr="0013655E">
        <w:t xml:space="preserve">These controls indicate a </w:t>
      </w:r>
      <w:r w:rsidRPr="0013655E">
        <w:rPr>
          <w:b/>
          <w:bCs/>
        </w:rPr>
        <w:t>mature and reasonably well-managed security environment</w:t>
      </w:r>
      <w:r w:rsidRPr="0013655E">
        <w:t>.</w:t>
      </w:r>
    </w:p>
    <w:p w14:paraId="74369804" w14:textId="77777777" w:rsidR="0013655E" w:rsidRPr="0013655E" w:rsidRDefault="0013655E" w:rsidP="0013655E">
      <w:r w:rsidRPr="0013655E">
        <w:lastRenderedPageBreak/>
        <w:pict w14:anchorId="6D52C0CB">
          <v:rect id="_x0000_i1294" style="width:0;height:1.5pt" o:hralign="center" o:hrstd="t" o:hr="t" fillcolor="#a0a0a0" stroked="f"/>
        </w:pict>
      </w:r>
    </w:p>
    <w:p w14:paraId="6D72C690" w14:textId="77777777" w:rsidR="0013655E" w:rsidRPr="0013655E" w:rsidRDefault="0013655E" w:rsidP="0013655E">
      <w:pPr>
        <w:rPr>
          <w:b/>
          <w:bCs/>
        </w:rPr>
      </w:pPr>
      <w:r w:rsidRPr="0013655E">
        <w:rPr>
          <w:b/>
          <w:bCs/>
        </w:rPr>
        <w:t>7. Overall Conclusion</w:t>
      </w:r>
    </w:p>
    <w:p w14:paraId="67387EEB" w14:textId="77777777" w:rsidR="0013655E" w:rsidRPr="0013655E" w:rsidRDefault="0013655E" w:rsidP="0013655E">
      <w:proofErr w:type="spellStart"/>
      <w:r w:rsidRPr="0013655E">
        <w:t>CloudServe</w:t>
      </w:r>
      <w:proofErr w:type="spellEnd"/>
      <w:r w:rsidRPr="0013655E">
        <w:t xml:space="preserve"> Solutions Pvt. Ltd. demonstrates a solid baseline of security controls, and the SOC 2 Type II report provides a reasonable level of assurance regarding their effectiveness.</w:t>
      </w:r>
    </w:p>
    <w:p w14:paraId="7D69D9E7" w14:textId="77777777" w:rsidR="0013655E" w:rsidRPr="0013655E" w:rsidRDefault="0013655E" w:rsidP="0013655E">
      <w:r w:rsidRPr="0013655E">
        <w:t>However, the assessment also highlights a pattern that is common in many organizations:</w:t>
      </w:r>
      <w:r w:rsidRPr="0013655E">
        <w:br/>
        <w:t>while controls are designed well, their consistent execution and governance can vary.</w:t>
      </w:r>
    </w:p>
    <w:p w14:paraId="60D97FA2" w14:textId="77777777" w:rsidR="0013655E" w:rsidRPr="0013655E" w:rsidRDefault="0013655E" w:rsidP="0013655E">
      <w:r w:rsidRPr="0013655E">
        <w:t>Key concerns include:</w:t>
      </w:r>
    </w:p>
    <w:p w14:paraId="1302487D" w14:textId="77777777" w:rsidR="0013655E" w:rsidRPr="0013655E" w:rsidRDefault="0013655E" w:rsidP="0013655E">
      <w:pPr>
        <w:numPr>
          <w:ilvl w:val="0"/>
          <w:numId w:val="21"/>
        </w:numPr>
      </w:pPr>
      <w:r w:rsidRPr="0013655E">
        <w:t>Inconsistent access review execution</w:t>
      </w:r>
    </w:p>
    <w:p w14:paraId="59A3A6B2" w14:textId="77777777" w:rsidR="0013655E" w:rsidRPr="0013655E" w:rsidRDefault="0013655E" w:rsidP="0013655E">
      <w:pPr>
        <w:numPr>
          <w:ilvl w:val="0"/>
          <w:numId w:val="21"/>
        </w:numPr>
      </w:pPr>
      <w:r w:rsidRPr="0013655E">
        <w:t>Lack of formal cross-border data governance</w:t>
      </w:r>
    </w:p>
    <w:p w14:paraId="763ED8D9" w14:textId="77777777" w:rsidR="0013655E" w:rsidRPr="0013655E" w:rsidRDefault="0013655E" w:rsidP="0013655E">
      <w:pPr>
        <w:numPr>
          <w:ilvl w:val="0"/>
          <w:numId w:val="21"/>
        </w:numPr>
      </w:pPr>
      <w:r w:rsidRPr="0013655E">
        <w:t>Limited clarity around monitoring operations</w:t>
      </w:r>
    </w:p>
    <w:p w14:paraId="6411E308" w14:textId="77777777" w:rsidR="0013655E" w:rsidRPr="0013655E" w:rsidRDefault="0013655E" w:rsidP="0013655E">
      <w:pPr>
        <w:numPr>
          <w:ilvl w:val="0"/>
          <w:numId w:val="21"/>
        </w:numPr>
      </w:pPr>
      <w:r w:rsidRPr="0013655E">
        <w:t>Gaps in third-party visibility</w:t>
      </w:r>
    </w:p>
    <w:p w14:paraId="1D3FA0D2" w14:textId="77777777" w:rsidR="0013655E" w:rsidRPr="0013655E" w:rsidRDefault="0013655E" w:rsidP="0013655E">
      <w:r w:rsidRPr="0013655E">
        <w:t>Given the vendor’s high-risk profile, these areas should not be overlooked.</w:t>
      </w:r>
    </w:p>
    <w:p w14:paraId="2D0955E2" w14:textId="77777777" w:rsidR="0013655E" w:rsidRPr="0013655E" w:rsidRDefault="0013655E" w:rsidP="0013655E">
      <w:r w:rsidRPr="0013655E">
        <w:pict w14:anchorId="1ABB15EC">
          <v:rect id="_x0000_i1295" style="width:0;height:1.5pt" o:hralign="center" o:hrstd="t" o:hr="t" fillcolor="#a0a0a0" stroked="f"/>
        </w:pict>
      </w:r>
    </w:p>
    <w:p w14:paraId="5A307E6A" w14:textId="77777777" w:rsidR="0013655E" w:rsidRPr="0013655E" w:rsidRDefault="0013655E" w:rsidP="0013655E">
      <w:pPr>
        <w:rPr>
          <w:b/>
          <w:bCs/>
        </w:rPr>
      </w:pPr>
      <w:r w:rsidRPr="0013655E">
        <w:rPr>
          <w:b/>
          <w:bCs/>
        </w:rPr>
        <w:t>8. Recommendation</w:t>
      </w:r>
    </w:p>
    <w:p w14:paraId="116E9502" w14:textId="77777777" w:rsidR="0013655E" w:rsidRPr="0013655E" w:rsidRDefault="0013655E" w:rsidP="0013655E">
      <w:r w:rsidRPr="0013655E">
        <w:t>It is recommended to proceed with the vendor under conditional acceptance, with a focus on strengthening the following areas:</w:t>
      </w:r>
    </w:p>
    <w:p w14:paraId="5A5721CD" w14:textId="77777777" w:rsidR="0013655E" w:rsidRPr="0013655E" w:rsidRDefault="0013655E" w:rsidP="0013655E">
      <w:pPr>
        <w:numPr>
          <w:ilvl w:val="0"/>
          <w:numId w:val="22"/>
        </w:numPr>
      </w:pPr>
      <w:r w:rsidRPr="0013655E">
        <w:t>Enforcing timely and consistent access reviews</w:t>
      </w:r>
    </w:p>
    <w:p w14:paraId="5BB89887" w14:textId="77777777" w:rsidR="0013655E" w:rsidRPr="0013655E" w:rsidRDefault="0013655E" w:rsidP="0013655E">
      <w:pPr>
        <w:numPr>
          <w:ilvl w:val="0"/>
          <w:numId w:val="22"/>
        </w:numPr>
      </w:pPr>
      <w:r w:rsidRPr="0013655E">
        <w:t>Establishing formal cross-border data assessment processes</w:t>
      </w:r>
    </w:p>
    <w:p w14:paraId="53C051D4" w14:textId="77777777" w:rsidR="0013655E" w:rsidRPr="0013655E" w:rsidRDefault="0013655E" w:rsidP="0013655E">
      <w:pPr>
        <w:numPr>
          <w:ilvl w:val="0"/>
          <w:numId w:val="22"/>
        </w:numPr>
      </w:pPr>
      <w:r w:rsidRPr="0013655E">
        <w:t>Defining and documenting monitoring coverage and response SLAs</w:t>
      </w:r>
    </w:p>
    <w:p w14:paraId="1410033E" w14:textId="77777777" w:rsidR="0013655E" w:rsidRPr="0013655E" w:rsidRDefault="0013655E" w:rsidP="0013655E">
      <w:pPr>
        <w:numPr>
          <w:ilvl w:val="0"/>
          <w:numId w:val="22"/>
        </w:numPr>
      </w:pPr>
      <w:r w:rsidRPr="0013655E">
        <w:t>Enhancing visibility into third-party dependencies</w:t>
      </w:r>
    </w:p>
    <w:p w14:paraId="4559111A" w14:textId="77777777" w:rsidR="0013655E" w:rsidRPr="0013655E" w:rsidRDefault="0013655E" w:rsidP="0013655E">
      <w:pPr>
        <w:numPr>
          <w:ilvl w:val="0"/>
          <w:numId w:val="22"/>
        </w:numPr>
      </w:pPr>
      <w:r w:rsidRPr="0013655E">
        <w:t>Providing greater transparency around DR testing and data protection controls</w:t>
      </w:r>
    </w:p>
    <w:p w14:paraId="04F1F967" w14:textId="77777777" w:rsidR="0013655E" w:rsidRPr="0013655E" w:rsidRDefault="0013655E" w:rsidP="0013655E">
      <w:r w:rsidRPr="0013655E">
        <w:t>Addressing these areas will significantly improve confidence in the vendor’s ability to manage risk effectively.</w:t>
      </w:r>
    </w:p>
    <w:p w14:paraId="51F9878F" w14:textId="77777777" w:rsidR="0013655E" w:rsidRPr="0013655E" w:rsidRDefault="0013655E" w:rsidP="0013655E">
      <w:r w:rsidRPr="0013655E">
        <w:pict w14:anchorId="1644C10C">
          <v:rect id="_x0000_i1296" style="width:0;height:1.5pt" o:hralign="center" o:hrstd="t" o:hr="t" fillcolor="#a0a0a0" stroked="f"/>
        </w:pict>
      </w:r>
    </w:p>
    <w:p w14:paraId="6CD25A0E" w14:textId="77777777" w:rsidR="0013655E" w:rsidRPr="0013655E" w:rsidRDefault="0013655E" w:rsidP="0013655E">
      <w:r w:rsidRPr="0013655E">
        <w:rPr>
          <w:b/>
          <w:bCs/>
        </w:rPr>
        <w:t>Overall Risk Rating:</w:t>
      </w:r>
      <w:r w:rsidRPr="0013655E">
        <w:t xml:space="preserve"> Moderate to High</w:t>
      </w:r>
    </w:p>
    <w:p w14:paraId="5CD5B482" w14:textId="77777777" w:rsidR="0013655E" w:rsidRPr="0013655E" w:rsidRDefault="0013655E" w:rsidP="0013655E">
      <w:r w:rsidRPr="0013655E">
        <w:pict w14:anchorId="66AEB9AE">
          <v:rect id="_x0000_i1297" style="width:0;height:1.5pt" o:hralign="center" o:hrstd="t" o:hr="t" fillcolor="#a0a0a0" stroked="f"/>
        </w:pict>
      </w:r>
    </w:p>
    <w:p w14:paraId="176C5F40" w14:textId="77777777" w:rsidR="00131D6D" w:rsidRDefault="00131D6D"/>
    <w:sectPr w:rsidR="00131D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D6384"/>
    <w:multiLevelType w:val="multilevel"/>
    <w:tmpl w:val="133C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6F38FB"/>
    <w:multiLevelType w:val="multilevel"/>
    <w:tmpl w:val="755C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BE07B0"/>
    <w:multiLevelType w:val="multilevel"/>
    <w:tmpl w:val="4E4C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716781"/>
    <w:multiLevelType w:val="multilevel"/>
    <w:tmpl w:val="38BA8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7568CF"/>
    <w:multiLevelType w:val="multilevel"/>
    <w:tmpl w:val="456C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FE624F"/>
    <w:multiLevelType w:val="multilevel"/>
    <w:tmpl w:val="8A16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840B3A"/>
    <w:multiLevelType w:val="multilevel"/>
    <w:tmpl w:val="E8C4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375054"/>
    <w:multiLevelType w:val="multilevel"/>
    <w:tmpl w:val="C036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7E4EF0"/>
    <w:multiLevelType w:val="multilevel"/>
    <w:tmpl w:val="289C2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187DAA"/>
    <w:multiLevelType w:val="multilevel"/>
    <w:tmpl w:val="8DBA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4D67FE"/>
    <w:multiLevelType w:val="multilevel"/>
    <w:tmpl w:val="8804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385ABB"/>
    <w:multiLevelType w:val="multilevel"/>
    <w:tmpl w:val="EFC4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955B8A"/>
    <w:multiLevelType w:val="multilevel"/>
    <w:tmpl w:val="1470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260C04"/>
    <w:multiLevelType w:val="multilevel"/>
    <w:tmpl w:val="407EB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EF12B2"/>
    <w:multiLevelType w:val="multilevel"/>
    <w:tmpl w:val="D0CA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0A2BA8"/>
    <w:multiLevelType w:val="multilevel"/>
    <w:tmpl w:val="34A6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C325E2"/>
    <w:multiLevelType w:val="multilevel"/>
    <w:tmpl w:val="25C0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EF0958"/>
    <w:multiLevelType w:val="multilevel"/>
    <w:tmpl w:val="4C90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7262F7"/>
    <w:multiLevelType w:val="multilevel"/>
    <w:tmpl w:val="C0F89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2460FA"/>
    <w:multiLevelType w:val="multilevel"/>
    <w:tmpl w:val="3C5A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FA0E0E"/>
    <w:multiLevelType w:val="multilevel"/>
    <w:tmpl w:val="9E4A0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263250"/>
    <w:multiLevelType w:val="multilevel"/>
    <w:tmpl w:val="B07A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1748872">
    <w:abstractNumId w:val="0"/>
  </w:num>
  <w:num w:numId="2" w16cid:durableId="1832015378">
    <w:abstractNumId w:val="3"/>
  </w:num>
  <w:num w:numId="3" w16cid:durableId="1838418418">
    <w:abstractNumId w:val="4"/>
  </w:num>
  <w:num w:numId="4" w16cid:durableId="404491589">
    <w:abstractNumId w:val="10"/>
  </w:num>
  <w:num w:numId="5" w16cid:durableId="795682113">
    <w:abstractNumId w:val="9"/>
  </w:num>
  <w:num w:numId="6" w16cid:durableId="1513688036">
    <w:abstractNumId w:val="21"/>
  </w:num>
  <w:num w:numId="7" w16cid:durableId="768083946">
    <w:abstractNumId w:val="13"/>
  </w:num>
  <w:num w:numId="8" w16cid:durableId="14894039">
    <w:abstractNumId w:val="18"/>
  </w:num>
  <w:num w:numId="9" w16cid:durableId="1466385481">
    <w:abstractNumId w:val="14"/>
  </w:num>
  <w:num w:numId="10" w16cid:durableId="721173102">
    <w:abstractNumId w:val="17"/>
  </w:num>
  <w:num w:numId="11" w16cid:durableId="1013188170">
    <w:abstractNumId w:val="12"/>
  </w:num>
  <w:num w:numId="12" w16cid:durableId="158037153">
    <w:abstractNumId w:val="19"/>
  </w:num>
  <w:num w:numId="13" w16cid:durableId="710542623">
    <w:abstractNumId w:val="7"/>
  </w:num>
  <w:num w:numId="14" w16cid:durableId="863709385">
    <w:abstractNumId w:val="1"/>
  </w:num>
  <w:num w:numId="15" w16cid:durableId="405805167">
    <w:abstractNumId w:val="16"/>
  </w:num>
  <w:num w:numId="16" w16cid:durableId="621113652">
    <w:abstractNumId w:val="2"/>
  </w:num>
  <w:num w:numId="17" w16cid:durableId="252934698">
    <w:abstractNumId w:val="6"/>
  </w:num>
  <w:num w:numId="18" w16cid:durableId="1663386209">
    <w:abstractNumId w:val="20"/>
  </w:num>
  <w:num w:numId="19" w16cid:durableId="1360427384">
    <w:abstractNumId w:val="8"/>
  </w:num>
  <w:num w:numId="20" w16cid:durableId="2126264421">
    <w:abstractNumId w:val="5"/>
  </w:num>
  <w:num w:numId="21" w16cid:durableId="1331638403">
    <w:abstractNumId w:val="11"/>
  </w:num>
  <w:num w:numId="22" w16cid:durableId="182624102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32E"/>
    <w:rsid w:val="00131D6D"/>
    <w:rsid w:val="0013655E"/>
    <w:rsid w:val="001B4F1C"/>
    <w:rsid w:val="003E702F"/>
    <w:rsid w:val="004B0339"/>
    <w:rsid w:val="005F56D7"/>
    <w:rsid w:val="00606DEA"/>
    <w:rsid w:val="006079FA"/>
    <w:rsid w:val="0063690A"/>
    <w:rsid w:val="007036C2"/>
    <w:rsid w:val="00753517"/>
    <w:rsid w:val="00794BC9"/>
    <w:rsid w:val="00803DEC"/>
    <w:rsid w:val="00964BB1"/>
    <w:rsid w:val="009B532E"/>
    <w:rsid w:val="00D77C29"/>
    <w:rsid w:val="00DD02B8"/>
    <w:rsid w:val="00F43C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B7186"/>
  <w15:chartTrackingRefBased/>
  <w15:docId w15:val="{2A3203D9-CB82-429F-A611-D39C745B1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53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53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53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53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53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53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3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3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3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3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53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53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53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53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53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53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53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532E"/>
    <w:rPr>
      <w:rFonts w:eastAsiaTheme="majorEastAsia" w:cstheme="majorBidi"/>
      <w:color w:val="272727" w:themeColor="text1" w:themeTint="D8"/>
    </w:rPr>
  </w:style>
  <w:style w:type="paragraph" w:styleId="Title">
    <w:name w:val="Title"/>
    <w:basedOn w:val="Normal"/>
    <w:next w:val="Normal"/>
    <w:link w:val="TitleChar"/>
    <w:uiPriority w:val="10"/>
    <w:qFormat/>
    <w:rsid w:val="009B53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3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53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53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532E"/>
    <w:pPr>
      <w:spacing w:before="160"/>
      <w:jc w:val="center"/>
    </w:pPr>
    <w:rPr>
      <w:i/>
      <w:iCs/>
      <w:color w:val="404040" w:themeColor="text1" w:themeTint="BF"/>
    </w:rPr>
  </w:style>
  <w:style w:type="character" w:customStyle="1" w:styleId="QuoteChar">
    <w:name w:val="Quote Char"/>
    <w:basedOn w:val="DefaultParagraphFont"/>
    <w:link w:val="Quote"/>
    <w:uiPriority w:val="29"/>
    <w:rsid w:val="009B532E"/>
    <w:rPr>
      <w:i/>
      <w:iCs/>
      <w:color w:val="404040" w:themeColor="text1" w:themeTint="BF"/>
    </w:rPr>
  </w:style>
  <w:style w:type="paragraph" w:styleId="ListParagraph">
    <w:name w:val="List Paragraph"/>
    <w:basedOn w:val="Normal"/>
    <w:uiPriority w:val="34"/>
    <w:qFormat/>
    <w:rsid w:val="009B532E"/>
    <w:pPr>
      <w:ind w:left="720"/>
      <w:contextualSpacing/>
    </w:pPr>
  </w:style>
  <w:style w:type="character" w:styleId="IntenseEmphasis">
    <w:name w:val="Intense Emphasis"/>
    <w:basedOn w:val="DefaultParagraphFont"/>
    <w:uiPriority w:val="21"/>
    <w:qFormat/>
    <w:rsid w:val="009B532E"/>
    <w:rPr>
      <w:i/>
      <w:iCs/>
      <w:color w:val="0F4761" w:themeColor="accent1" w:themeShade="BF"/>
    </w:rPr>
  </w:style>
  <w:style w:type="paragraph" w:styleId="IntenseQuote">
    <w:name w:val="Intense Quote"/>
    <w:basedOn w:val="Normal"/>
    <w:next w:val="Normal"/>
    <w:link w:val="IntenseQuoteChar"/>
    <w:uiPriority w:val="30"/>
    <w:qFormat/>
    <w:rsid w:val="009B53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532E"/>
    <w:rPr>
      <w:i/>
      <w:iCs/>
      <w:color w:val="0F4761" w:themeColor="accent1" w:themeShade="BF"/>
    </w:rPr>
  </w:style>
  <w:style w:type="character" w:styleId="IntenseReference">
    <w:name w:val="Intense Reference"/>
    <w:basedOn w:val="DefaultParagraphFont"/>
    <w:uiPriority w:val="32"/>
    <w:qFormat/>
    <w:rsid w:val="009B53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72</TotalTime>
  <Pages>7</Pages>
  <Words>1667</Words>
  <Characters>9723</Characters>
  <Application>Microsoft Office Word</Application>
  <DocSecurity>0</DocSecurity>
  <Lines>237</Lines>
  <Paragraphs>138</Paragraphs>
  <ScaleCrop>false</ScaleCrop>
  <Company/>
  <LinksUpToDate>false</LinksUpToDate>
  <CharactersWithSpaces>11252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 Mansoor, Arshiya</dc:creator>
  <cp:keywords/>
  <dc:description/>
  <cp:lastModifiedBy>Mohd Mansoor, Arshiya</cp:lastModifiedBy>
  <cp:revision>16</cp:revision>
  <dcterms:created xsi:type="dcterms:W3CDTF">2026-04-24T11:57:00Z</dcterms:created>
  <dcterms:modified xsi:type="dcterms:W3CDTF">2026-04-24T13:09:00Z</dcterms:modified>
</cp:coreProperties>
</file>