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left"/>
        <w:spacing w:after="110" w:line="330" w:lineRule="auto"/>
        <w:keepNext/>
      </w:pPr>
      <w:r>
        <w:rPr>
          <w:b/>
          <w:sz w:val="40"/>
          <w:szCs w:val="40"/>
          <w:rFonts w:ascii="Arial" w:hAnsi="Arial" w:cs="Noto Naskh Arabic"/>
        </w:rPr>
        <w:t xml:space="preserve">Corrected Manuscript</w:t>
      </w:r>
    </w:p>
    <w:p>
      <w:pPr>
        <w:jc w:val="left"/>
        <w:spacing w:after="110" w:line="330" w:lineRule="auto"/>
      </w:pPr>
      <w:r>
        <w:rPr>
          <w:b/>
          <w:sz w:val="26"/>
          <w:szCs w:val="26"/>
          <w:rFonts w:ascii="Arial" w:hAnsi="Arial" w:cs="Noto Naskh Arabic"/>
        </w:rPr>
        <w:t xml:space="preserve">Revised trial report with updated references</w:t>
      </w:r>
    </w:p>
    <w:p>
      <w:pPr>
        <w:jc w:val="left"/>
        <w:spacing w:after="110" w:line="330" w:lineRule="auto"/>
      </w:pPr>
      <w:r>
        <w:rPr>
          <w:sz w:val="22"/>
          <w:szCs w:val="22"/>
          <w:rFonts w:ascii="Arial" w:hAnsi="Arial" w:cs="Noto Naskh Arabic"/>
        </w:rPr>
        <w:t xml:space="preserve">iPhone-friendly edition</w:t>
      </w:r>
    </w:p>
    <w:p>
      <w:r>
        <w:br w:type="page"/>
      </w:r>
    </w:p>
    <w:p>
      <w:pPr>
        <w:pStyle w:val="Title"/>
        <w:jc w:val="left"/>
        <w:spacing w:after="110" w:line="330" w:lineRule="auto"/>
        <w:keepNext/>
      </w:pPr>
      <w:r>
        <w:rPr>
          <w:b/>
          <w:sz w:val="36"/>
          <w:szCs w:val="36"/>
          <w:rFonts w:ascii="Arial" w:hAnsi="Arial" w:cs="Noto Naskh Arabic"/>
        </w:rPr>
        <w:t xml:space="preserve">Corrected Manuscript</w:t>
      </w:r>
    </w:p>
    <w:p>
      <w:pPr>
        <w:pStyle w:val="Heading1"/>
        <w:jc w:val="left"/>
        <w:spacing w:after="110" w:line="330" w:lineRule="auto"/>
        <w:keepNext/>
      </w:pPr>
      <w:r>
        <w:rPr>
          <w:b/>
          <w:sz w:val="28"/>
          <w:szCs w:val="28"/>
          <w:rFonts w:ascii="Arial" w:hAnsi="Arial" w:cs="Noto Naskh Arabic"/>
        </w:rPr>
        <w:t xml:space="preserve">Revised manuscript draft</w:t>
      </w:r>
    </w:p>
    <w:p>
      <w:pPr>
        <w:bidi/>
        <w:jc w:val="right"/>
        <w:spacing w:after="110" w:line="330" w:lineRule="auto"/>
      </w:pPr>
      <w:r>
        <w:rPr>
          <w:sz w:val="21"/>
          <w:szCs w:val="21"/>
          <w:rFonts w:ascii="Arial" w:hAnsi="Arial" w:cs="Noto Naskh Arabic"/>
        </w:rPr>
        <w:t xml:space="preserve">نکته: Editorial status: This is a scientifically conservative reconstruction based only on the aggregate information in the supplied PDF. Bracketed fields require author verification. Confirmatory statistical results must be inserted after reanalysis of participant-level data. This draft must not be submitted until the ethics, registration, randomization, and data-audit items are resolved.</w:t>
      </w:r>
    </w:p>
    <w:p>
      <w:pPr>
        <w:pStyle w:val="Heading2"/>
        <w:jc w:val="left"/>
        <w:spacing w:after="110" w:line="330" w:lineRule="auto"/>
        <w:keepNext/>
      </w:pPr>
      <w:r>
        <w:rPr>
          <w:b/>
          <w:sz w:val="24"/>
          <w:szCs w:val="24"/>
          <w:rFonts w:ascii="Arial" w:hAnsi="Arial" w:cs="Noto Naskh Arabic"/>
        </w:rPr>
        <w:t xml:space="preserve">Title</w:t>
      </w:r>
    </w:p>
    <w:p>
      <w:pPr>
        <w:jc w:val="left"/>
        <w:spacing w:after="110" w:line="330" w:lineRule="auto"/>
      </w:pPr>
      <w:r>
        <w:rPr>
          <w:sz w:val="22"/>
          <w:szCs w:val="22"/>
          <w:rFonts w:ascii="Arial" w:hAnsi="Arial" w:cs="Noto Naskh Arabic"/>
        </w:rPr>
        <w:t xml:space="preserve">Supraorbital versus infraorbital external trigeminal nerve stimulation for migraine prevention: a three-arm assessor-blinded randomized sham-controlled trial</w:t>
      </w:r>
    </w:p>
    <w:p>
      <w:pPr>
        <w:jc w:val="left"/>
        <w:spacing w:after="110" w:line="330" w:lineRule="auto"/>
      </w:pPr>
      <w:r>
        <w:rPr>
          <w:sz w:val="22"/>
          <w:szCs w:val="22"/>
          <w:rFonts w:ascii="Arial" w:hAnsi="Arial" w:cs="Noto Naskh Arabic"/>
        </w:rPr>
        <w:t xml:space="preserve">Use “randomized” only if the allocation records verify random sequence generation and implementation.</w:t>
      </w:r>
    </w:p>
    <w:p>
      <w:pPr>
        <w:pStyle w:val="Heading2"/>
        <w:jc w:val="left"/>
        <w:spacing w:after="110" w:line="330" w:lineRule="auto"/>
        <w:keepNext/>
      </w:pPr>
      <w:r>
        <w:rPr>
          <w:b/>
          <w:sz w:val="24"/>
          <w:szCs w:val="24"/>
          <w:rFonts w:ascii="Arial" w:hAnsi="Arial" w:cs="Noto Naskh Arabic"/>
        </w:rPr>
        <w:t xml:space="preserve">Abstract</w:t>
      </w:r>
    </w:p>
    <w:p>
      <w:pPr>
        <w:pStyle w:val="Heading3"/>
        <w:jc w:val="left"/>
        <w:spacing w:after="110" w:line="330" w:lineRule="auto"/>
        <w:keepNext/>
      </w:pPr>
      <w:r>
        <w:rPr>
          <w:b/>
          <w:sz w:val="20"/>
          <w:szCs w:val="20"/>
          <w:rFonts w:ascii="Arial" w:hAnsi="Arial" w:cs="Noto Naskh Arabic"/>
        </w:rPr>
        <w:t xml:space="preserve">Background</w:t>
      </w:r>
    </w:p>
    <w:p>
      <w:pPr>
        <w:jc w:val="left"/>
        <w:spacing w:after="110" w:line="330" w:lineRule="auto"/>
      </w:pPr>
      <w:r>
        <w:rPr>
          <w:sz w:val="22"/>
          <w:szCs w:val="22"/>
          <w:rFonts w:ascii="Arial" w:hAnsi="Arial" w:cs="Noto Naskh Arabic"/>
        </w:rPr>
        <w:t xml:space="preserve">External trigeminal nerve stimulation is a non-invasive option for migraine prevention, but evidence directly comparing stimulation sites is limited. We assessed supraorbital and infraorbital transcutaneous electrical nerve stimulation (TENS) against an inert sham condition.</w:t>
      </w:r>
    </w:p>
    <w:p>
      <w:pPr>
        <w:pStyle w:val="Heading3"/>
        <w:jc w:val="left"/>
        <w:spacing w:after="110" w:line="330" w:lineRule="auto"/>
        <w:keepNext/>
      </w:pPr>
      <w:r>
        <w:rPr>
          <w:b/>
          <w:sz w:val="20"/>
          <w:szCs w:val="20"/>
          <w:rFonts w:ascii="Arial" w:hAnsi="Arial" w:cs="Noto Naskh Arabic"/>
        </w:rPr>
        <w:t xml:space="preserve">Methods</w:t>
      </w:r>
    </w:p>
    <w:p>
      <w:pPr>
        <w:jc w:val="left"/>
        <w:spacing w:after="110" w:line="330" w:lineRule="auto"/>
      </w:pPr>
      <w:r>
        <w:rPr>
          <w:sz w:val="22"/>
          <w:szCs w:val="22"/>
          <w:rFonts w:ascii="Arial" w:hAnsi="Arial" w:cs="Noto Naskh Arabic"/>
        </w:rPr>
        <w:t xml:space="preserve">In this single-center, three-arm trial, adults with migraine were allocated to supraorbital TENS (n=28), infraorbital TENS (n=27), or supraorbital sham stimulation (n=28). Active stimulation was administered in clinic at 100 Hz and 200 μs for 30 min per session, six sessions weekly for four weeks. The sham device delivered no current. The prespecified primary outcome was [verify against the dated registry and protocol] monthly migraine attack frequency at three months. Secondary outcomes were pain intensity, MIDAS, HIT-6, acute oral analgesic-use frequency, and MPQ-5 score. Outcome assessment and analysis were masked to allocation; successful participant masking was not established. Primary comparisons should be reanalyzed using a baseline-adjusted model with multiplicity control.</w:t>
      </w:r>
    </w:p>
    <w:p>
      <w:pPr>
        <w:pStyle w:val="Heading3"/>
        <w:jc w:val="left"/>
        <w:spacing w:after="110" w:line="330" w:lineRule="auto"/>
        <w:keepNext/>
      </w:pPr>
      <w:r>
        <w:rPr>
          <w:b/>
          <w:sz w:val="20"/>
          <w:szCs w:val="20"/>
          <w:rFonts w:ascii="Arial" w:hAnsi="Arial" w:cs="Noto Naskh Arabic"/>
        </w:rPr>
        <w:t xml:space="preserve">Results</w:t>
      </w:r>
    </w:p>
    <w:p>
      <w:pPr>
        <w:jc w:val="left"/>
        <w:spacing w:after="110" w:line="330" w:lineRule="auto"/>
      </w:pPr>
      <w:r>
        <w:rPr>
          <w:sz w:val="22"/>
          <w:szCs w:val="22"/>
          <w:rFonts w:ascii="Arial" w:hAnsi="Arial" w:cs="Noto Naskh Arabic"/>
        </w:rPr>
        <w:t xml:space="preserve">All 83 allocated participants were reported to have completed three-month follow-up. At three months, the unadjusted mean monthly attack frequencies were 6.59 (SD 2.70), 6.16 (SD 2.48), and 12.94 (SD 5.01) in the supraorbital, infraorbital, and sham groups, respectively. The corresponding unadjusted endpoint mean differences versus sham were −6.35 attacks/month (approximate Welch 95% CI −8.52 to −4.18) and −6.78 attacks/month (−8.92 to −4.64). These aggregate-data contrasts are descriptive pending baseline-adjusted participant-level reanalysis. The supraorbital–infraorbital contrast was inconclusive (0.43 attacks/month, −0.97 to 1.83). Mild local sensations were commonly reported in both active groups; no serious adverse event was detected in this small, short trial.</w:t>
      </w:r>
    </w:p>
    <w:p>
      <w:pPr>
        <w:pStyle w:val="Heading3"/>
        <w:jc w:val="left"/>
        <w:spacing w:after="110" w:line="330" w:lineRule="auto"/>
        <w:keepNext/>
      </w:pPr>
      <w:r>
        <w:rPr>
          <w:b/>
          <w:sz w:val="20"/>
          <w:szCs w:val="20"/>
          <w:rFonts w:ascii="Arial" w:hAnsi="Arial" w:cs="Noto Naskh Arabic"/>
        </w:rPr>
        <w:t xml:space="preserve">Conclusions</w:t>
      </w:r>
    </w:p>
    <w:p>
      <w:pPr>
        <w:jc w:val="left"/>
        <w:spacing w:after="110" w:line="330" w:lineRule="auto"/>
      </w:pPr>
      <w:r>
        <w:rPr>
          <w:sz w:val="22"/>
          <w:szCs w:val="22"/>
          <w:rFonts w:ascii="Arial" w:hAnsi="Arial" w:cs="Noto Naskh Arabic"/>
        </w:rPr>
        <w:t xml:space="preserve">The reported aggregate data show a preliminary efficacy signal for both active protocols relative to an inert sham in patients able to attend an intensive clinic schedule. Uncertain allocation details, likely compromised participant masking, a site-mismatched sham, outcome-measure limitations, and insufficient power for the active-site comparison preclude confirmatory conclusions about efficacy or equivalence. Verification of prospective registration and randomization, followed by prespecified reanalysis of participant-level data, is required.</w:t>
      </w:r>
    </w:p>
    <w:p>
      <w:pPr>
        <w:jc w:val="left"/>
        <w:spacing w:after="110" w:line="330" w:lineRule="auto"/>
      </w:pPr>
      <w:r>
        <w:rPr>
          <w:sz w:val="22"/>
          <w:szCs w:val="22"/>
          <w:rFonts w:ascii="Arial" w:hAnsi="Arial" w:cs="Noto Naskh Arabic"/>
        </w:rPr>
        <w:t xml:space="preserve">Trial registration: IRCT [identifier; URL; registration date].</w:t>
      </w:r>
    </w:p>
    <w:p>
      <w:pPr>
        <w:jc w:val="left"/>
        <w:spacing w:after="110" w:line="330" w:lineRule="auto"/>
      </w:pPr>
      <w:r>
        <w:rPr>
          <w:sz w:val="22"/>
          <w:szCs w:val="22"/>
          <w:rFonts w:ascii="Arial" w:hAnsi="Arial" w:cs="Noto Naskh Arabic"/>
        </w:rPr>
        <w:t xml:space="preserve">Ethics approval: [committee; approval identifier; approval date].</w:t>
      </w:r>
    </w:p>
    <w:p>
      <w:pPr>
        <w:jc w:val="left"/>
        <w:spacing w:after="110" w:line="330" w:lineRule="auto"/>
      </w:pPr>
      <w:r>
        <w:rPr>
          <w:sz w:val="22"/>
          <w:szCs w:val="22"/>
          <w:rFonts w:ascii="Arial" w:hAnsi="Arial" w:cs="Noto Naskh Arabic"/>
        </w:rPr>
        <w:t xml:space="preserve">First participant enrolled: [date].</w:t>
      </w:r>
    </w:p>
    <w:p>
      <w:pPr>
        <w:jc w:val="left"/>
        <w:spacing w:after="110" w:line="330" w:lineRule="auto"/>
      </w:pPr>
      <w:r>
        <w:rPr>
          <w:sz w:val="22"/>
          <w:szCs w:val="22"/>
          <w:rFonts w:ascii="Arial" w:hAnsi="Arial" w:cs="Noto Naskh Arabic"/>
        </w:rPr>
        <w:t xml:space="preserve">Keywords: migraine; external trigeminal nerve stimulation; transcutaneous electrical nerve stimulation; supraorbital nerve; infraorbital nerve; randomized trial</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1. Introduction</w:t>
      </w:r>
    </w:p>
    <w:p>
      <w:pPr>
        <w:jc w:val="left"/>
        <w:spacing w:after="110" w:line="330" w:lineRule="auto"/>
      </w:pPr>
      <w:r>
        <w:rPr>
          <w:sz w:val="22"/>
          <w:szCs w:val="22"/>
          <w:rFonts w:ascii="Arial" w:hAnsi="Arial" w:cs="Noto Naskh Arabic"/>
        </w:rPr>
        <w:t xml:space="preserve">Migraine is a leading cause of years lived with disability worldwide and is characterized by recurrent headache and associated sensory and autonomic symptoms [1,2,34]. The GBD 2023 analysis confirms that headache disorders remain highly prevalent and that migraine accounts for most headache-attributed years lived with disability [53]. An updated global synthesis estimated the prevalence of active migraine at 14.0% and headache on at least 15 days per month at 4.6% [41]. Migraine imposes substantial individual, economic, and health-system burdens [42]. Current models describe altered processing across cortical, subcortical, brainstem, and trigeminovascular networks [43]. Preventive pharmacotherapy can reduce migraine burden, but contraindications, inadequate response, adverse effects, and medication overuse motivate the evaluation of non-pharmacological options [10,50].</w:t>
      </w:r>
    </w:p>
    <w:p>
      <w:pPr>
        <w:jc w:val="left"/>
        <w:spacing w:after="110" w:line="330" w:lineRule="auto"/>
      </w:pPr>
      <w:r>
        <w:rPr>
          <w:sz w:val="22"/>
          <w:szCs w:val="22"/>
          <w:rFonts w:ascii="Arial" w:hAnsi="Arial" w:cs="Noto Naskh Arabic"/>
        </w:rPr>
        <w:t xml:space="preserve">Non-invasive neuromodulation can alter nociceptive signaling without an implanted device. External stimulation of the supraorbital and supratrochlear branches of the trigeminal nerve has been evaluated for migraine prevention, including in a small sham-controlled trial and systematic reviews [15,26,44,46,55]. The certainty of evidence remains limited, and current recommendations are device-specific and conditional [47]. Efficacy estimates cannot be generalized across devices, electrode geometries, targets, waveforms, or dose schedules. Direct evidence for surface infraorbital stimulation in migraine is lacking; one small uncontrolled study evaluated combined supraorbital and infraorbital lidocaine blocks and could not isolate the infraorbital contribution [23,54].</w:t>
      </w:r>
    </w:p>
    <w:p>
      <w:pPr>
        <w:jc w:val="left"/>
        <w:spacing w:after="110" w:line="330" w:lineRule="auto"/>
      </w:pPr>
      <w:r>
        <w:rPr>
          <w:sz w:val="22"/>
          <w:szCs w:val="22"/>
          <w:rFonts w:ascii="Arial" w:hAnsi="Arial" w:cs="Noto Naskh Arabic"/>
        </w:rPr>
        <w:t xml:space="preserve">We therefore evaluated two facial TENS placements—supraorbital and infraorbital—against an inert supraorbital sham condition. The primary objective was to estimate each active treatment’s effect on monthly migraine attack frequency at three months relative to sham. The comparison between active sites was exploratory because the study was not designed for equivalence or non-inferiority.</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2. Methods</w:t>
      </w:r>
    </w:p>
    <w:p>
      <w:pPr>
        <w:pStyle w:val="Heading3"/>
        <w:jc w:val="left"/>
        <w:spacing w:after="110" w:line="330" w:lineRule="auto"/>
        <w:keepNext/>
      </w:pPr>
      <w:r>
        <w:rPr>
          <w:b/>
          <w:sz w:val="20"/>
          <w:szCs w:val="20"/>
          <w:rFonts w:ascii="Arial" w:hAnsi="Arial" w:cs="Noto Naskh Arabic"/>
        </w:rPr>
        <w:t xml:space="preserve">2.1 Study design, reporting, and oversight</w:t>
      </w:r>
    </w:p>
    <w:p>
      <w:pPr>
        <w:jc w:val="left"/>
        <w:spacing w:after="110" w:line="330" w:lineRule="auto"/>
      </w:pPr>
      <w:r>
        <w:rPr>
          <w:sz w:val="22"/>
          <w:szCs w:val="22"/>
          <w:rFonts w:ascii="Arial" w:hAnsi="Arial" w:cs="Noto Naskh Arabic"/>
        </w:rPr>
        <w:t xml:space="preserve">This single-center, three-arm, parallel-group trial was conducted at the outpatient Physical Medicine and Rehabilitation clinics of Isfahan University of Medical Sciences, Iran, between [first recruitment date] and [final follow-up date].</w:t>
      </w:r>
    </w:p>
    <w:p>
      <w:pPr>
        <w:jc w:val="left"/>
        <w:spacing w:after="110" w:line="330" w:lineRule="auto"/>
      </w:pPr>
      <w:r>
        <w:rPr>
          <w:sz w:val="22"/>
          <w:szCs w:val="22"/>
          <w:rFonts w:ascii="Arial" w:hAnsi="Arial" w:cs="Noto Naskh Arabic"/>
        </w:rPr>
        <w:t xml:space="preserve">The protocol was approved by [full committee name] on [date] (approval [identifier]) and registered at the Iranian Registry of Clinical Trials on [date] (IRCT [identifier]; [URL]) before enrollment of the first participant on [date]. Written informed consent was obtained from all participants. Any discrepancy between the original registry/protocol and this report is listed in Supplementary Table S1 with its date, rationale, and whether it occurred before access to outcome data.</w:t>
      </w:r>
    </w:p>
    <w:p>
      <w:pPr>
        <w:jc w:val="left"/>
        <w:spacing w:after="110" w:line="330" w:lineRule="auto"/>
      </w:pPr>
      <w:r>
        <w:rPr>
          <w:sz w:val="22"/>
          <w:szCs w:val="22"/>
          <w:rFonts w:ascii="Arial" w:hAnsi="Arial" w:cs="Noto Naskh Arabic"/>
        </w:rPr>
        <w:t xml:space="preserve">Reporting follows CONSORT 2025, CONSORT Harms 2022, the CONSORT extension for non-pharmacological interventions, and TIDieR [48,49]. The dated protocol and statistical analysis plan are available at [repository/URL].</w:t>
      </w:r>
    </w:p>
    <w:p>
      <w:pPr>
        <w:bidi/>
        <w:jc w:val="right"/>
        <w:spacing w:after="110" w:line="330" w:lineRule="auto"/>
      </w:pPr>
      <w:r>
        <w:rPr>
          <w:sz w:val="21"/>
          <w:szCs w:val="21"/>
          <w:rFonts w:ascii="Arial" w:hAnsi="Arial" w:cs="Noto Naskh Arabic"/>
        </w:rPr>
        <w:t xml:space="preserve">نکته: If registration occurred after enrollment, replace the prospective-registration sentence with the factual chronology and explain the delay.</w:t>
      </w:r>
    </w:p>
    <w:p>
      <w:pPr>
        <w:pStyle w:val="Heading3"/>
        <w:jc w:val="left"/>
        <w:spacing w:after="110" w:line="330" w:lineRule="auto"/>
        <w:keepNext/>
      </w:pPr>
      <w:r>
        <w:rPr>
          <w:b/>
          <w:sz w:val="20"/>
          <w:szCs w:val="20"/>
          <w:rFonts w:ascii="Arial" w:hAnsi="Arial" w:cs="Noto Naskh Arabic"/>
        </w:rPr>
        <w:t xml:space="preserve">2.2 Participants</w:t>
      </w:r>
    </w:p>
    <w:p>
      <w:pPr>
        <w:jc w:val="left"/>
        <w:spacing w:after="110" w:line="330" w:lineRule="auto"/>
      </w:pPr>
      <w:r>
        <w:rPr>
          <w:sz w:val="22"/>
          <w:szCs w:val="22"/>
          <w:rFonts w:ascii="Arial" w:hAnsi="Arial" w:cs="Noto Naskh Arabic"/>
        </w:rPr>
        <w:t xml:space="preserve">Adults aged 18–65 years were eligible if they met ICHD-3 criteria for migraine with or without aura and had at least two migraine attacks monthly during a prospective [28-day] baseline diary period [2]. Authors must specify:</w:t>
      </w:r>
    </w:p>
    <w:p>
      <w:pPr>
        <w:jc w:val="left"/>
        <w:spacing w:after="110" w:line="330" w:lineRule="auto"/>
      </w:pPr>
      <w:r>
        <w:rPr>
          <w:sz w:val="22"/>
          <w:szCs w:val="22"/>
          <w:rFonts w:ascii="Arial" w:hAnsi="Arial" w:cs="Noto Naskh Arabic"/>
        </w:rPr>
        <w:t xml:space="preserve">• the required number of migraine and headache days;</w:t>
      </w:r>
    </w:p>
    <w:p>
      <w:pPr>
        <w:jc w:val="left"/>
        <w:spacing w:after="110" w:line="330" w:lineRule="auto"/>
      </w:pPr>
      <w:r>
        <w:rPr>
          <w:sz w:val="22"/>
          <w:szCs w:val="22"/>
          <w:rFonts w:ascii="Arial" w:hAnsi="Arial" w:cs="Noto Naskh Arabic"/>
        </w:rPr>
        <w:t xml:space="preserve">• episodic or chronic migraine status;</w:t>
      </w:r>
    </w:p>
    <w:p>
      <w:pPr>
        <w:jc w:val="left"/>
        <w:spacing w:after="110" w:line="330" w:lineRule="auto"/>
      </w:pPr>
      <w:r>
        <w:rPr>
          <w:sz w:val="22"/>
          <w:szCs w:val="22"/>
          <w:rFonts w:ascii="Arial" w:hAnsi="Arial" w:cs="Noto Naskh Arabic"/>
        </w:rPr>
        <w:t xml:space="preserve">• the algorithm distinguishing a new attack from recurrence;</w:t>
      </w:r>
    </w:p>
    <w:p>
      <w:pPr>
        <w:jc w:val="left"/>
        <w:spacing w:after="110" w:line="330" w:lineRule="auto"/>
      </w:pPr>
      <w:r>
        <w:rPr>
          <w:sz w:val="22"/>
          <w:szCs w:val="22"/>
          <w:rFonts w:ascii="Arial" w:hAnsi="Arial" w:cs="Noto Naskh Arabic"/>
        </w:rPr>
        <w:t xml:space="preserve">• whether a pain-free interval of 24 or 48 hours was used and why;</w:t>
      </w:r>
    </w:p>
    <w:p>
      <w:pPr>
        <w:jc w:val="left"/>
        <w:spacing w:after="110" w:line="330" w:lineRule="auto"/>
      </w:pPr>
      <w:r>
        <w:rPr>
          <w:sz w:val="22"/>
          <w:szCs w:val="22"/>
          <w:rFonts w:ascii="Arial" w:hAnsi="Arial" w:cs="Noto Naskh Arabic"/>
        </w:rPr>
        <w:t xml:space="preserve">• minimum diary completion;</w:t>
      </w:r>
    </w:p>
    <w:p>
      <w:pPr>
        <w:jc w:val="left"/>
        <w:spacing w:after="110" w:line="330" w:lineRule="auto"/>
      </w:pPr>
      <w:r>
        <w:rPr>
          <w:sz w:val="22"/>
          <w:szCs w:val="22"/>
          <w:rFonts w:ascii="Arial" w:hAnsi="Arial" w:cs="Noto Naskh Arabic"/>
        </w:rPr>
        <w:t xml:space="preserve">• permitted acute medications and their effect on classification.</w:t>
      </w:r>
    </w:p>
    <w:p>
      <w:pPr>
        <w:jc w:val="left"/>
        <w:spacing w:after="110" w:line="330" w:lineRule="auto"/>
      </w:pPr>
      <w:r>
        <w:rPr>
          <w:sz w:val="22"/>
          <w:szCs w:val="22"/>
          <w:rFonts w:ascii="Arial" w:hAnsi="Arial" w:cs="Noto Naskh Arabic"/>
        </w:rPr>
        <w:t xml:space="preserve">Exclusion criteria were medication-overuse headache; another active headache disorder; pregnancy or lactation; [device-specific contraindications]; severe psychiatric or systemic illness; substance use disorder; specified preventive procedures within [class-specific washout periods]; and current preventive medication unless a stable regimen was explicitly permitted by the protocol.</w:t>
      </w:r>
    </w:p>
    <w:p>
      <w:pPr>
        <w:jc w:val="left"/>
        <w:spacing w:after="110" w:line="330" w:lineRule="auto"/>
      </w:pPr>
      <w:r>
        <w:rPr>
          <w:sz w:val="22"/>
          <w:szCs w:val="22"/>
          <w:rFonts w:ascii="Arial" w:hAnsi="Arial" w:cs="Noto Naskh Arabic"/>
        </w:rPr>
        <w:t xml:space="preserve">“Treatment non-compliance” must not be listed as a pre-randomization exclusion unless it was operationalized prospectively. Post-randomization nonadherence should be retained in the intention-to-treat population.</w:t>
      </w:r>
    </w:p>
    <w:p>
      <w:pPr>
        <w:pStyle w:val="Heading3"/>
        <w:jc w:val="left"/>
        <w:spacing w:after="110" w:line="330" w:lineRule="auto"/>
        <w:keepNext/>
      </w:pPr>
      <w:r>
        <w:rPr>
          <w:b/>
          <w:sz w:val="20"/>
          <w:szCs w:val="20"/>
          <w:rFonts w:ascii="Arial" w:hAnsi="Arial" w:cs="Noto Naskh Arabic"/>
        </w:rPr>
        <w:t xml:space="preserve">2.3 Recruitment and applicability</w:t>
      </w:r>
    </w:p>
    <w:p>
      <w:pPr>
        <w:jc w:val="left"/>
        <w:spacing w:after="110" w:line="330" w:lineRule="auto"/>
      </w:pPr>
      <w:r>
        <w:rPr>
          <w:sz w:val="22"/>
          <w:szCs w:val="22"/>
          <w:rFonts w:ascii="Arial" w:hAnsi="Arial" w:cs="Noto Naskh Arabic"/>
        </w:rPr>
        <w:t xml:space="preserve">Of 137 screened individuals, 54 did not proceed to randomization because they were unable or unwilling to commit to 24 clinic visits over four weeks. Eighty-three participants entered the allocation process. The high pre-randomization exclusion fraction restricts applicability to patients who can attend this intensive schedule. Because the 54 individuals were not randomized and had no study outcomes, no outcomes were imputed for them.</w:t>
      </w:r>
    </w:p>
    <w:p>
      <w:pPr>
        <w:jc w:val="left"/>
        <w:spacing w:after="110" w:line="330" w:lineRule="auto"/>
      </w:pPr>
      <w:r>
        <w:rPr>
          <w:sz w:val="22"/>
          <w:szCs w:val="22"/>
          <w:rFonts w:ascii="Arial" w:hAnsi="Arial" w:cs="Noto Naskh Arabic"/>
        </w:rPr>
        <w:t xml:space="preserve">Report available age, sex, migraine subtype, baseline frequency, and reasons for nonparticipation for screened nonrandomized individuals when permitted by ethics approval.</w:t>
      </w:r>
    </w:p>
    <w:p>
      <w:pPr>
        <w:pStyle w:val="Heading3"/>
        <w:jc w:val="left"/>
        <w:spacing w:after="110" w:line="330" w:lineRule="auto"/>
        <w:keepNext/>
      </w:pPr>
      <w:r>
        <w:rPr>
          <w:b/>
          <w:sz w:val="20"/>
          <w:szCs w:val="20"/>
          <w:rFonts w:ascii="Arial" w:hAnsi="Arial" w:cs="Noto Naskh Arabic"/>
        </w:rPr>
        <w:t xml:space="preserve">2.4 Randomization and allocation concealment</w:t>
      </w:r>
    </w:p>
    <w:p>
      <w:pPr>
        <w:jc w:val="left"/>
        <w:spacing w:after="110" w:line="330" w:lineRule="auto"/>
      </w:pPr>
      <w:r>
        <w:rPr>
          <w:sz w:val="22"/>
          <w:szCs w:val="22"/>
          <w:rFonts w:ascii="Arial" w:hAnsi="Arial" w:cs="Noto Naskh Arabic"/>
        </w:rPr>
        <w:t xml:space="preserve">Replace this section using the original allocation records:</w:t>
      </w:r>
    </w:p>
    <w:p>
      <w:pPr>
        <w:bidi/>
        <w:jc w:val="right"/>
        <w:spacing w:after="110" w:line="330" w:lineRule="auto"/>
      </w:pPr>
      <w:r>
        <w:rPr>
          <w:sz w:val="21"/>
          <w:szCs w:val="21"/>
          <w:rFonts w:ascii="Arial" w:hAnsi="Arial" w:cs="Noto Naskh Arabic"/>
        </w:rPr>
        <w:t xml:space="preserve">نکته: An independent [role] generated the allocation sequence using [software/version and exact algorithm] with a 1:1:1 ratio and [actual block sizes/stratification factors]. [Role], who had no contact with participants, prepared sequentially numbered, opaque, tamper-evident, sealed envelopes. After eligibility and consent were completed, [role] opened the next envelope in sequence. Treatment providers could not be masked because they operated the device.</w:t>
      </w:r>
    </w:p>
    <w:p>
      <w:pPr>
        <w:jc w:val="left"/>
        <w:spacing w:after="110" w:line="330" w:lineRule="auto"/>
      </w:pPr>
      <w:r>
        <w:rPr>
          <w:sz w:val="22"/>
          <w:szCs w:val="22"/>
          <w:rFonts w:ascii="Arial" w:hAnsi="Arial" w:cs="Noto Naskh Arabic"/>
        </w:rPr>
        <w:t xml:space="preserve">A fixed block size of four cannot by itself produce balanced 1:1:1 permuted blocks. Do not retain that statement unless the exact unequal-block rotation algorithm and its implementation can be documented.</w:t>
      </w:r>
    </w:p>
    <w:p>
      <w:pPr>
        <w:pStyle w:val="Heading3"/>
        <w:jc w:val="left"/>
        <w:spacing w:after="110" w:line="330" w:lineRule="auto"/>
        <w:keepNext/>
      </w:pPr>
      <w:r>
        <w:rPr>
          <w:b/>
          <w:sz w:val="20"/>
          <w:szCs w:val="20"/>
          <w:rFonts w:ascii="Arial" w:hAnsi="Arial" w:cs="Noto Naskh Arabic"/>
        </w:rPr>
        <w:t xml:space="preserve">2.5 Masking</w:t>
      </w:r>
    </w:p>
    <w:p>
      <w:pPr>
        <w:jc w:val="left"/>
        <w:spacing w:after="110" w:line="330" w:lineRule="auto"/>
      </w:pPr>
      <w:r>
        <w:rPr>
          <w:sz w:val="22"/>
          <w:szCs w:val="22"/>
          <w:rFonts w:ascii="Arial" w:hAnsi="Arial" w:cs="Noto Naskh Arabic"/>
        </w:rPr>
        <w:t xml:space="preserve">Participants were intended to be unaware of treatment allocation. However, active stimulation was titrated to a strong sensory level, whereas sham stimulation delivered no current. Successful participant masking therefore cannot be assumed. Outcome assessment and statistical analysis were conducted by an investigator unaware of allocation [describe safeguards].</w:t>
      </w:r>
    </w:p>
    <w:p>
      <w:pPr>
        <w:jc w:val="left"/>
        <w:spacing w:after="110" w:line="330" w:lineRule="auto"/>
      </w:pPr>
      <w:r>
        <w:rPr>
          <w:sz w:val="22"/>
          <w:szCs w:val="22"/>
          <w:rFonts w:ascii="Arial" w:hAnsi="Arial" w:cs="Noto Naskh Arabic"/>
        </w:rPr>
        <w:t xml:space="preserve">Report the masking assessment as a full cross-tabulation of assigned group by guessed group, including “do not know,” the timing of assessment, and reasons for each guess. Analyze it with an appropriate blinding index and confidence interval. Do not infer successful masking from a nonsignificant difference in correct-guess proportions.</w:t>
      </w:r>
    </w:p>
    <w:p>
      <w:pPr>
        <w:pStyle w:val="Heading3"/>
        <w:jc w:val="left"/>
        <w:spacing w:after="110" w:line="330" w:lineRule="auto"/>
        <w:keepNext/>
      </w:pPr>
      <w:r>
        <w:rPr>
          <w:b/>
          <w:sz w:val="20"/>
          <w:szCs w:val="20"/>
          <w:rFonts w:ascii="Arial" w:hAnsi="Arial" w:cs="Noto Naskh Arabic"/>
        </w:rPr>
        <w:t xml:space="preserve">2.6 Interventions</w:t>
      </w:r>
    </w:p>
    <w:p>
      <w:pPr>
        <w:jc w:val="left"/>
        <w:spacing w:after="110" w:line="330" w:lineRule="auto"/>
      </w:pPr>
      <w:r>
        <w:rPr>
          <w:sz w:val="22"/>
          <w:szCs w:val="22"/>
          <w:rFonts w:ascii="Arial" w:hAnsi="Arial" w:cs="Noto Naskh Arabic"/>
        </w:rPr>
        <w:t xml:space="preserve">All intervention details below require confirmation from treatment logs and device documentation.</w:t>
      </w:r>
    </w:p>
    <w:p>
      <w:pPr>
        <w:pStyle w:val="Heading3"/>
        <w:jc w:val="left"/>
        <w:spacing w:after="110" w:line="330" w:lineRule="auto"/>
        <w:keepNext/>
      </w:pPr>
      <w:r>
        <w:rPr>
          <w:b/>
          <w:sz w:val="20"/>
          <w:szCs w:val="20"/>
          <w:rFonts w:ascii="Arial" w:hAnsi="Arial" w:cs="Noto Naskh Arabic"/>
        </w:rPr>
        <w:t xml:space="preserve">Supraorbital TENS</w:t>
      </w:r>
    </w:p>
    <w:p>
      <w:pPr>
        <w:jc w:val="left"/>
        <w:spacing w:after="110" w:line="330" w:lineRule="auto"/>
      </w:pPr>
      <w:r>
        <w:rPr>
          <w:sz w:val="22"/>
          <w:szCs w:val="22"/>
          <w:rFonts w:ascii="Arial" w:hAnsi="Arial" w:cs="Noto Naskh Arabic"/>
        </w:rPr>
        <w:t xml:space="preserve">Bilateral stimulation was administered over the supraorbital foramina/notches with [device manufacturer, exact model, regulatory status]. Sessions lasted 30 min and occurred six times weekly for four weeks (24 planned sessions). Frequency was 100 Hz and pulse duration was 200 μs. Current was individually increased to a strong but tolerable sensation; the actual delivered intensity had a median of [value] mA (IQR [value]) and range [value].</w:t>
      </w:r>
    </w:p>
    <w:p>
      <w:pPr>
        <w:pStyle w:val="Heading3"/>
        <w:jc w:val="left"/>
        <w:spacing w:after="110" w:line="330" w:lineRule="auto"/>
        <w:keepNext/>
      </w:pPr>
      <w:r>
        <w:rPr>
          <w:b/>
          <w:sz w:val="20"/>
          <w:szCs w:val="20"/>
          <w:rFonts w:ascii="Arial" w:hAnsi="Arial" w:cs="Noto Naskh Arabic"/>
        </w:rPr>
        <w:t xml:space="preserve">Infraorbital TENS</w:t>
      </w:r>
    </w:p>
    <w:p>
      <w:pPr>
        <w:jc w:val="left"/>
        <w:spacing w:after="110" w:line="330" w:lineRule="auto"/>
      </w:pPr>
      <w:r>
        <w:rPr>
          <w:sz w:val="22"/>
          <w:szCs w:val="22"/>
          <w:rFonts w:ascii="Arial" w:hAnsi="Arial" w:cs="Noto Naskh Arabic"/>
        </w:rPr>
        <w:t xml:space="preserve">The same device, schedule, and nominal electrical parameters were used, with electrodes centered over the infraorbital foramina. Authors must describe precautions used for facial and ocular proximity.</w:t>
      </w:r>
    </w:p>
    <w:p>
      <w:pPr>
        <w:pStyle w:val="Heading3"/>
        <w:jc w:val="left"/>
        <w:spacing w:after="110" w:line="330" w:lineRule="auto"/>
        <w:keepNext/>
      </w:pPr>
      <w:r>
        <w:rPr>
          <w:b/>
          <w:sz w:val="20"/>
          <w:szCs w:val="20"/>
          <w:rFonts w:ascii="Arial" w:hAnsi="Arial" w:cs="Noto Naskh Arabic"/>
        </w:rPr>
        <w:t xml:space="preserve">Sham stimulation</w:t>
      </w:r>
    </w:p>
    <w:p>
      <w:pPr>
        <w:jc w:val="left"/>
        <w:spacing w:after="110" w:line="330" w:lineRule="auto"/>
      </w:pPr>
      <w:r>
        <w:rPr>
          <w:sz w:val="22"/>
          <w:szCs w:val="22"/>
          <w:rFonts w:ascii="Arial" w:hAnsi="Arial" w:cs="Noto Naskh Arabic"/>
        </w:rPr>
        <w:t xml:space="preserve">Electrodes were placed over the supraorbital region using the same visible session procedure, but no current was delivered. This inert sham did not reproduce treatment sensation and did not site-match the infraorbital intervention.</w:t>
      </w:r>
    </w:p>
    <w:p>
      <w:pPr>
        <w:jc w:val="left"/>
        <w:spacing w:after="110" w:line="330" w:lineRule="auto"/>
      </w:pPr>
      <w:r>
        <w:rPr>
          <w:sz w:val="22"/>
          <w:szCs w:val="22"/>
          <w:rFonts w:ascii="Arial" w:hAnsi="Arial" w:cs="Noto Naskh Arabic"/>
        </w:rPr>
        <w:t xml:space="preserve">For all groups, report:</w:t>
      </w:r>
    </w:p>
    <w:p>
      <w:pPr>
        <w:jc w:val="left"/>
        <w:spacing w:after="110" w:line="330" w:lineRule="auto"/>
      </w:pPr>
      <w:r>
        <w:rPr>
          <w:sz w:val="22"/>
          <w:szCs w:val="22"/>
          <w:rFonts w:ascii="Arial" w:hAnsi="Arial" w:cs="Noto Naskh Arabic"/>
        </w:rPr>
        <w:t xml:space="preserve">• waveform and polarity;</w:t>
      </w:r>
    </w:p>
    <w:p>
      <w:pPr>
        <w:jc w:val="left"/>
        <w:spacing w:after="110" w:line="330" w:lineRule="auto"/>
      </w:pPr>
      <w:r>
        <w:rPr>
          <w:sz w:val="22"/>
          <w:szCs w:val="22"/>
          <w:rFonts w:ascii="Arial" w:hAnsi="Arial" w:cs="Noto Naskh Arabic"/>
        </w:rPr>
        <w:t xml:space="preserve">• electrode dimensions, material, spacing, and montage;</w:t>
      </w:r>
    </w:p>
    <w:p>
      <w:pPr>
        <w:jc w:val="left"/>
        <w:spacing w:after="110" w:line="330" w:lineRule="auto"/>
      </w:pPr>
      <w:r>
        <w:rPr>
          <w:sz w:val="22"/>
          <w:szCs w:val="22"/>
          <w:rFonts w:ascii="Arial" w:hAnsi="Arial" w:cs="Noto Naskh Arabic"/>
        </w:rPr>
        <w:t xml:space="preserve">• anatomical localization method;</w:t>
      </w:r>
    </w:p>
    <w:p>
      <w:pPr>
        <w:jc w:val="left"/>
        <w:spacing w:after="110" w:line="330" w:lineRule="auto"/>
      </w:pPr>
      <w:r>
        <w:rPr>
          <w:sz w:val="22"/>
          <w:szCs w:val="22"/>
          <w:rFonts w:ascii="Arial" w:hAnsi="Arial" w:cs="Noto Naskh Arabic"/>
        </w:rPr>
        <w:t xml:space="preserve">• skin preparation and impedance threshold;</w:t>
      </w:r>
    </w:p>
    <w:p>
      <w:pPr>
        <w:jc w:val="left"/>
        <w:spacing w:after="110" w:line="330" w:lineRule="auto"/>
      </w:pPr>
      <w:r>
        <w:rPr>
          <w:sz w:val="22"/>
          <w:szCs w:val="22"/>
          <w:rFonts w:ascii="Arial" w:hAnsi="Arial" w:cs="Noto Naskh Arabic"/>
        </w:rPr>
        <w:t xml:space="preserve">• ramp-up/ramp-down;</w:t>
      </w:r>
    </w:p>
    <w:p>
      <w:pPr>
        <w:jc w:val="left"/>
        <w:spacing w:after="110" w:line="330" w:lineRule="auto"/>
      </w:pPr>
      <w:r>
        <w:rPr>
          <w:sz w:val="22"/>
          <w:szCs w:val="22"/>
          <w:rFonts w:ascii="Arial" w:hAnsi="Arial" w:cs="Noto Naskh Arabic"/>
        </w:rPr>
        <w:t xml:space="preserve">• calibration and output verification;</w:t>
      </w:r>
    </w:p>
    <w:p>
      <w:pPr>
        <w:jc w:val="left"/>
        <w:spacing w:after="110" w:line="330" w:lineRule="auto"/>
      </w:pPr>
      <w:r>
        <w:rPr>
          <w:sz w:val="22"/>
          <w:szCs w:val="22"/>
          <w:rFonts w:ascii="Arial" w:hAnsi="Arial" w:cs="Noto Naskh Arabic"/>
        </w:rPr>
        <w:t xml:space="preserve">• provider training;</w:t>
      </w:r>
    </w:p>
    <w:p>
      <w:pPr>
        <w:jc w:val="left"/>
        <w:spacing w:after="110" w:line="330" w:lineRule="auto"/>
      </w:pPr>
      <w:r>
        <w:rPr>
          <w:sz w:val="22"/>
          <w:szCs w:val="22"/>
          <w:rFonts w:ascii="Arial" w:hAnsi="Arial" w:cs="Noto Naskh Arabic"/>
        </w:rPr>
        <w:t xml:space="preserve">• protocol-fidelity checks;</w:t>
      </w:r>
    </w:p>
    <w:p>
      <w:pPr>
        <w:jc w:val="left"/>
        <w:spacing w:after="110" w:line="330" w:lineRule="auto"/>
      </w:pPr>
      <w:r>
        <w:rPr>
          <w:sz w:val="22"/>
          <w:szCs w:val="22"/>
          <w:rFonts w:ascii="Arial" w:hAnsi="Arial" w:cs="Noto Naskh Arabic"/>
        </w:rPr>
        <w:t xml:space="preserve">• deviations and actual attendance per arm.</w:t>
      </w:r>
    </w:p>
    <w:p>
      <w:pPr>
        <w:pStyle w:val="Heading3"/>
        <w:jc w:val="left"/>
        <w:spacing w:after="110" w:line="330" w:lineRule="auto"/>
        <w:keepNext/>
      </w:pPr>
      <w:r>
        <w:rPr>
          <w:b/>
          <w:sz w:val="20"/>
          <w:szCs w:val="20"/>
          <w:rFonts w:ascii="Arial" w:hAnsi="Arial" w:cs="Noto Naskh Arabic"/>
        </w:rPr>
        <w:t xml:space="preserve">2.7 Outcomes</w:t>
      </w:r>
    </w:p>
    <w:p>
      <w:pPr>
        <w:pStyle w:val="Heading3"/>
        <w:jc w:val="left"/>
        <w:spacing w:after="110" w:line="330" w:lineRule="auto"/>
        <w:keepNext/>
      </w:pPr>
      <w:r>
        <w:rPr>
          <w:b/>
          <w:sz w:val="20"/>
          <w:szCs w:val="20"/>
          <w:rFonts w:ascii="Arial" w:hAnsi="Arial" w:cs="Noto Naskh Arabic"/>
        </w:rPr>
        <w:t xml:space="preserve">Primary outcome</w:t>
      </w:r>
    </w:p>
    <w:p>
      <w:pPr>
        <w:jc w:val="left"/>
        <w:spacing w:after="110" w:line="330" w:lineRule="auto"/>
      </w:pPr>
      <w:r>
        <w:rPr>
          <w:sz w:val="22"/>
          <w:szCs w:val="22"/>
          <w:rFonts w:ascii="Arial" w:hAnsi="Arial" w:cs="Noto Naskh Arabic"/>
        </w:rPr>
        <w:t xml:space="preserve">The primary outcome was [verify from original protocol and registry] monthly migraine attack frequency during [exact diary window] at three months. Define the unit, denominator, standardization for incomplete/unequal diary windows, and rules for recurrence.</w:t>
      </w:r>
    </w:p>
    <w:p>
      <w:pPr>
        <w:jc w:val="left"/>
        <w:spacing w:after="110" w:line="330" w:lineRule="auto"/>
      </w:pPr>
      <w:r>
        <w:rPr>
          <w:sz w:val="22"/>
          <w:szCs w:val="22"/>
          <w:rFonts w:ascii="Arial" w:hAnsi="Arial" w:cs="Noto Naskh Arabic"/>
        </w:rPr>
        <w:t xml:space="preserve">If monthly migraine days were collected, they should be reported because current preventive-trial guidance recommends change in monthly migraine days from a prospective 4–8-week diary baseline [52]. Report ≥50% responder rates only if prespecified or clearly label them exploratory.</w:t>
      </w:r>
    </w:p>
    <w:p>
      <w:pPr>
        <w:pStyle w:val="Heading3"/>
        <w:jc w:val="left"/>
        <w:spacing w:after="110" w:line="330" w:lineRule="auto"/>
        <w:keepNext/>
      </w:pPr>
      <w:r>
        <w:rPr>
          <w:b/>
          <w:sz w:val="20"/>
          <w:szCs w:val="20"/>
          <w:rFonts w:ascii="Arial" w:hAnsi="Arial" w:cs="Noto Naskh Arabic"/>
        </w:rPr>
        <w:t xml:space="preserve">Secondary outcomes</w:t>
      </w:r>
    </w:p>
    <w:p>
      <w:pPr>
        <w:jc w:val="left"/>
        <w:spacing w:after="110" w:line="330" w:lineRule="auto"/>
      </w:pPr>
      <w:r>
        <w:rPr>
          <w:sz w:val="22"/>
          <w:szCs w:val="22"/>
          <w:rFonts w:ascii="Arial" w:hAnsi="Arial" w:cs="Noto Naskh Arabic"/>
        </w:rPr>
        <w:t xml:space="preserve">1. Pain intensity measured with [10-cm VAS or 0–10 NRS], anchors [specify], referring to [average/worst/typical pain] over [recall window].</w:t>
      </w:r>
    </w:p>
    <w:p>
      <w:pPr>
        <w:jc w:val="left"/>
        <w:spacing w:after="110" w:line="330" w:lineRule="auto"/>
      </w:pPr>
      <w:r>
        <w:rPr>
          <w:sz w:val="22"/>
          <w:szCs w:val="22"/>
          <w:rFonts w:ascii="Arial" w:hAnsi="Arial" w:cs="Noto Naskh Arabic"/>
        </w:rPr>
        <w:t xml:space="preserve">2. MIDAS total score, using the validated Persian version [51] and its standard three-month recall period. The one-month assessment overlaps the pretreatment period and should not be interpreted as an isolated one-month treatment effect.</w:t>
      </w:r>
    </w:p>
    <w:p>
      <w:pPr>
        <w:jc w:val="left"/>
        <w:spacing w:after="110" w:line="330" w:lineRule="auto"/>
      </w:pPr>
      <w:r>
        <w:rPr>
          <w:sz w:val="22"/>
          <w:szCs w:val="22"/>
          <w:rFonts w:ascii="Arial" w:hAnsi="Arial" w:cs="Noto Naskh Arabic"/>
        </w:rPr>
        <w:t xml:space="preserve">3. HIT-6 total score, using the correctly cited validated Persian version [38].</w:t>
      </w:r>
    </w:p>
    <w:p>
      <w:pPr>
        <w:jc w:val="left"/>
        <w:spacing w:after="110" w:line="330" w:lineRule="auto"/>
      </w:pPr>
      <w:r>
        <w:rPr>
          <w:sz w:val="22"/>
          <w:szCs w:val="22"/>
          <w:rFonts w:ascii="Arial" w:hAnsi="Arial" w:cs="Noto Naskh Arabic"/>
        </w:rPr>
        <w:t xml:space="preserve">4. Number of acute oral analgesic-use occasions during [exact 28-day window], with medication classes and counting rules defined.</w:t>
      </w:r>
    </w:p>
    <w:p>
      <w:pPr>
        <w:jc w:val="left"/>
        <w:spacing w:after="110" w:line="330" w:lineRule="auto"/>
      </w:pPr>
      <w:r>
        <w:rPr>
          <w:sz w:val="22"/>
          <w:szCs w:val="22"/>
          <w:rFonts w:ascii="Arial" w:hAnsi="Arial" w:cs="Noto Naskh Arabic"/>
        </w:rPr>
        <w:t xml:space="preserve">5. MPQ-5 score, reported as exploratory unless a validated Persian version and longitudinal responsiveness can be documented. Provide score range, item scoring, recall period, and interpretation.</w:t>
      </w:r>
    </w:p>
    <w:p>
      <w:pPr>
        <w:jc w:val="left"/>
        <w:spacing w:after="110" w:line="330" w:lineRule="auto"/>
      </w:pPr>
      <w:r>
        <w:rPr>
          <w:sz w:val="22"/>
          <w:szCs w:val="22"/>
          <w:rFonts w:ascii="Arial" w:hAnsi="Arial" w:cs="Noto Naskh Arabic"/>
        </w:rPr>
        <w:t xml:space="preserve">Adverse events should be elicited with a standardized checklist plus open-ended inquiry, and coded by severity, seriousness, expectedness, relatedness, onset, duration, and action taken.</w:t>
      </w:r>
    </w:p>
    <w:p>
      <w:pPr>
        <w:pStyle w:val="Heading3"/>
        <w:jc w:val="left"/>
        <w:spacing w:after="110" w:line="330" w:lineRule="auto"/>
        <w:keepNext/>
      </w:pPr>
      <w:r>
        <w:rPr>
          <w:b/>
          <w:sz w:val="20"/>
          <w:szCs w:val="20"/>
          <w:rFonts w:ascii="Arial" w:hAnsi="Arial" w:cs="Noto Naskh Arabic"/>
        </w:rPr>
        <w:t xml:space="preserve">2.8 Concomitant treatment</w:t>
      </w:r>
    </w:p>
    <w:p>
      <w:pPr>
        <w:jc w:val="left"/>
        <w:spacing w:after="110" w:line="330" w:lineRule="auto"/>
      </w:pPr>
      <w:r>
        <w:rPr>
          <w:sz w:val="22"/>
          <w:szCs w:val="22"/>
          <w:rFonts w:ascii="Arial" w:hAnsi="Arial" w:cs="Noto Naskh Arabic"/>
        </w:rPr>
        <w:t xml:space="preserve">Define whether preventive medications were prohibited, continued at a stable dose, or allowed as rescue. List class-specific washout periods. A universal two-week washout is not adequate for all long-acting preventive treatments. Acute medication use must be incorporated into the estimand because it may affect pain reporting and is also a secondary outcome.</w:t>
      </w:r>
    </w:p>
    <w:p>
      <w:pPr>
        <w:pStyle w:val="Heading3"/>
        <w:jc w:val="left"/>
        <w:spacing w:after="110" w:line="330" w:lineRule="auto"/>
        <w:keepNext/>
      </w:pPr>
      <w:r>
        <w:rPr>
          <w:b/>
          <w:sz w:val="20"/>
          <w:szCs w:val="20"/>
          <w:rFonts w:ascii="Arial" w:hAnsi="Arial" w:cs="Noto Naskh Arabic"/>
        </w:rPr>
        <w:t xml:space="preserve">2.9 Sample size</w:t>
      </w:r>
    </w:p>
    <w:p>
      <w:pPr>
        <w:jc w:val="left"/>
        <w:spacing w:after="110" w:line="330" w:lineRule="auto"/>
      </w:pPr>
      <w:r>
        <w:rPr>
          <w:sz w:val="22"/>
          <w:szCs w:val="22"/>
          <w:rFonts w:ascii="Arial" w:hAnsi="Arial" w:cs="Noto Naskh Arabic"/>
        </w:rPr>
        <w:t xml:space="preserve">Report the original, dated protocol calculation exactly, including its endpoint, anticipated effect, variance/event rate, alpha, power, number of primary comparisons, test, and attrition allowance.</w:t>
      </w:r>
    </w:p>
    <w:p>
      <w:pPr>
        <w:jc w:val="left"/>
        <w:spacing w:after="110" w:line="330" w:lineRule="auto"/>
      </w:pPr>
      <w:r>
        <w:rPr>
          <w:sz w:val="22"/>
          <w:szCs w:val="22"/>
          <w:rFonts w:ascii="Arial" w:hAnsi="Arial" w:cs="Noto Naskh Arabic"/>
        </w:rPr>
        <w:t xml:space="preserve">If the original calculation was based on responder rate, state that calculation and disclose that the continuous/count outcome analysis differs from the original design. A retrospective calculation based on observed or selected assumptions must not be presented as prospective justification. Remove observed post-hoc power.</w:t>
      </w:r>
    </w:p>
    <w:p>
      <w:pPr>
        <w:jc w:val="left"/>
        <w:spacing w:after="110" w:line="330" w:lineRule="auto"/>
      </w:pPr>
      <w:r>
        <w:rPr>
          <w:sz w:val="22"/>
          <w:szCs w:val="22"/>
          <w:rFonts w:ascii="Arial" w:hAnsi="Arial" w:cs="Noto Naskh Arabic"/>
        </w:rPr>
        <w:t xml:space="preserve">For reference only, a simple two-sample normal approximation with SD 4.5, difference 3, two-sided α=.05, and 80% power requires approximately 36 evaluable participants per group. Allowing 20% attrition requires approximately 45 randomized participants per group after rounding conservatively. This calculation does not account for multiple active–sham comparisons and is not a replacement for the original design.</w:t>
      </w:r>
    </w:p>
    <w:p>
      <w:pPr>
        <w:pStyle w:val="Heading3"/>
        <w:jc w:val="left"/>
        <w:spacing w:after="110" w:line="330" w:lineRule="auto"/>
        <w:keepNext/>
      </w:pPr>
      <w:r>
        <w:rPr>
          <w:b/>
          <w:sz w:val="20"/>
          <w:szCs w:val="20"/>
          <w:rFonts w:ascii="Arial" w:hAnsi="Arial" w:cs="Noto Naskh Arabic"/>
        </w:rPr>
        <w:t xml:space="preserve">2.10 Statistical analysis</w:t>
      </w:r>
    </w:p>
    <w:p>
      <w:pPr>
        <w:jc w:val="left"/>
        <w:spacing w:after="110" w:line="330" w:lineRule="auto"/>
      </w:pPr>
      <w:r>
        <w:rPr>
          <w:sz w:val="22"/>
          <w:szCs w:val="22"/>
          <w:rFonts w:ascii="Arial" w:hAnsi="Arial" w:cs="Noto Naskh Arabic"/>
        </w:rPr>
        <w:t xml:space="preserve">The final analysis must be rerun from participant-level data under a dated analysis plan prepared without reference to treatment-coded results.</w:t>
      </w:r>
    </w:p>
    <w:p>
      <w:pPr>
        <w:jc w:val="left"/>
        <w:spacing w:after="110" w:line="330" w:lineRule="auto"/>
      </w:pPr>
      <w:r>
        <w:rPr>
          <w:sz w:val="22"/>
          <w:szCs w:val="22"/>
          <w:rFonts w:ascii="Arial" w:hAnsi="Arial" w:cs="Noto Naskh Arabic"/>
        </w:rPr>
        <w:t xml:space="preserve">Recommended primary model:</w:t>
      </w:r>
    </w:p>
    <w:p>
      <w:pPr>
        <w:jc w:val="left"/>
        <w:spacing w:after="110" w:line="330" w:lineRule="auto"/>
      </w:pPr>
      <w:r>
        <w:rPr>
          <w:sz w:val="22"/>
          <w:szCs w:val="22"/>
          <w:rFonts w:ascii="Arial" w:hAnsi="Arial" w:cs="Noto Naskh Arabic"/>
        </w:rPr>
        <w:t xml:space="preserve">• baseline-adjusted negative-binomial regression for monthly attack count, with log observation time as an offset when diary windows differ;</w:t>
      </w:r>
    </w:p>
    <w:p>
      <w:pPr>
        <w:jc w:val="left"/>
        <w:spacing w:after="110" w:line="330" w:lineRule="auto"/>
      </w:pPr>
      <w:r>
        <w:rPr>
          <w:sz w:val="22"/>
          <w:szCs w:val="22"/>
          <w:rFonts w:ascii="Arial" w:hAnsi="Arial" w:cs="Noto Naskh Arabic"/>
        </w:rPr>
        <w:t xml:space="preserve">• fixed effects for treatment and baseline attack frequency;</w:t>
      </w:r>
    </w:p>
    <w:p>
      <w:pPr>
        <w:jc w:val="left"/>
        <w:spacing w:after="110" w:line="330" w:lineRule="auto"/>
      </w:pPr>
      <w:r>
        <w:rPr>
          <w:sz w:val="22"/>
          <w:szCs w:val="22"/>
          <w:rFonts w:ascii="Arial" w:hAnsi="Arial" w:cs="Noto Naskh Arabic"/>
        </w:rPr>
        <w:t xml:space="preserve">• two prespecified active-versus-sham contrasts;</w:t>
      </w:r>
    </w:p>
    <w:p>
      <w:pPr>
        <w:jc w:val="left"/>
        <w:spacing w:after="110" w:line="330" w:lineRule="auto"/>
      </w:pPr>
      <w:r>
        <w:rPr>
          <w:sz w:val="22"/>
          <w:szCs w:val="22"/>
          <w:rFonts w:ascii="Arial" w:hAnsi="Arial" w:cs="Noto Naskh Arabic"/>
        </w:rPr>
        <w:t xml:space="preserve">• Holm or Dunnett control of the primary family-wise error rate;</w:t>
      </w:r>
    </w:p>
    <w:p>
      <w:pPr>
        <w:jc w:val="left"/>
        <w:spacing w:after="110" w:line="330" w:lineRule="auto"/>
      </w:pPr>
      <w:r>
        <w:rPr>
          <w:sz w:val="22"/>
          <w:szCs w:val="22"/>
          <w:rFonts w:ascii="Arial" w:hAnsi="Arial" w:cs="Noto Naskh Arabic"/>
        </w:rPr>
        <w:t xml:space="preserve">• adjusted rate ratios and adjusted absolute marginal mean differences with 95% CIs.</w:t>
      </w:r>
    </w:p>
    <w:p>
      <w:pPr>
        <w:jc w:val="left"/>
        <w:spacing w:after="110" w:line="330" w:lineRule="auto"/>
      </w:pPr>
      <w:r>
        <w:rPr>
          <w:sz w:val="22"/>
          <w:szCs w:val="22"/>
          <w:rFonts w:ascii="Arial" w:hAnsi="Arial" w:cs="Noto Naskh Arabic"/>
        </w:rPr>
        <w:t xml:space="preserve">If model fit is inadequate, use a justified alternative and provide diagnostics. A baseline-adjusted ANCOVA with robust standard errors may be a sensitivity analysis if the outcome behaves approximately continuously.</w:t>
      </w:r>
    </w:p>
    <w:p>
      <w:pPr>
        <w:jc w:val="left"/>
        <w:spacing w:after="110" w:line="330" w:lineRule="auto"/>
      </w:pPr>
      <w:r>
        <w:rPr>
          <w:sz w:val="22"/>
          <w:szCs w:val="22"/>
          <w:rFonts w:ascii="Arial" w:hAnsi="Arial" w:cs="Noto Naskh Arabic"/>
        </w:rPr>
        <w:t xml:space="preserve">Recommended secondary analysis:</w:t>
      </w:r>
    </w:p>
    <w:p>
      <w:pPr>
        <w:jc w:val="left"/>
        <w:spacing w:after="110" w:line="330" w:lineRule="auto"/>
      </w:pPr>
      <w:r>
        <w:rPr>
          <w:sz w:val="22"/>
          <w:szCs w:val="22"/>
          <w:rFonts w:ascii="Arial" w:hAnsi="Arial" w:cs="Noto Naskh Arabic"/>
        </w:rPr>
        <w:t xml:space="preserve">• baseline-adjusted ANCOVA or suitable generalized models at three months;</w:t>
      </w:r>
    </w:p>
    <w:p>
      <w:pPr>
        <w:jc w:val="left"/>
        <w:spacing w:after="110" w:line="330" w:lineRule="auto"/>
      </w:pPr>
      <w:r>
        <w:rPr>
          <w:sz w:val="22"/>
          <w:szCs w:val="22"/>
          <w:rFonts w:ascii="Arial" w:hAnsi="Arial" w:cs="Noto Naskh Arabic"/>
        </w:rPr>
        <w:t xml:space="preserve">• a longitudinal mixed model/GEE with group, time, and group×time interaction as supportive analysis;</w:t>
      </w:r>
    </w:p>
    <w:p>
      <w:pPr>
        <w:jc w:val="left"/>
        <w:spacing w:after="110" w:line="330" w:lineRule="auto"/>
      </w:pPr>
      <w:r>
        <w:rPr>
          <w:sz w:val="22"/>
          <w:szCs w:val="22"/>
          <w:rFonts w:ascii="Arial" w:hAnsi="Arial" w:cs="Noto Naskh Arabic"/>
        </w:rPr>
        <w:t xml:space="preserve">• multiplicity control across the prespecified secondary family;</w:t>
      </w:r>
    </w:p>
    <w:p>
      <w:pPr>
        <w:jc w:val="left"/>
        <w:spacing w:after="110" w:line="330" w:lineRule="auto"/>
      </w:pPr>
      <w:r>
        <w:rPr>
          <w:sz w:val="22"/>
          <w:szCs w:val="22"/>
          <w:rFonts w:ascii="Arial" w:hAnsi="Arial" w:cs="Noto Naskh Arabic"/>
        </w:rPr>
        <w:t xml:space="preserve">• exact analysis population, missing-data strategy, and intercurrent-event strategy.</w:t>
      </w:r>
    </w:p>
    <w:p>
      <w:pPr>
        <w:jc w:val="left"/>
        <w:spacing w:after="110" w:line="330" w:lineRule="auto"/>
      </w:pPr>
      <w:r>
        <w:rPr>
          <w:sz w:val="22"/>
          <w:szCs w:val="22"/>
          <w:rFonts w:ascii="Arial" w:hAnsi="Arial" w:cs="Noto Naskh Arabic"/>
        </w:rPr>
        <w:t xml:space="preserve">The active-site contrast is exploratory and must not be interpreted as equivalence. Report medians and IQRs if rank-based analyses are retained, and use effect estimates compatible with those tests.</w:t>
      </w:r>
    </w:p>
    <w:p>
      <w:pPr>
        <w:jc w:val="left"/>
        <w:spacing w:after="110" w:line="330" w:lineRule="auto"/>
      </w:pPr>
      <w:r>
        <w:rPr>
          <w:sz w:val="22"/>
          <w:szCs w:val="22"/>
          <w:rFonts w:ascii="Arial" w:hAnsi="Arial" w:cs="Noto Naskh Arabic"/>
        </w:rPr>
        <w:t xml:space="preserve">Analyses that add nonrandomized screened individuals to sham are prohibited because they destroy the randomized comparison and do not identify transportability.</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3. Results</w:t>
      </w:r>
    </w:p>
    <w:p>
      <w:pPr>
        <w:pStyle w:val="Heading3"/>
        <w:jc w:val="left"/>
        <w:spacing w:after="110" w:line="330" w:lineRule="auto"/>
        <w:keepNext/>
      </w:pPr>
      <w:r>
        <w:rPr>
          <w:b/>
          <w:sz w:val="20"/>
          <w:szCs w:val="20"/>
          <w:rFonts w:ascii="Arial" w:hAnsi="Arial" w:cs="Noto Naskh Arabic"/>
        </w:rPr>
        <w:t xml:space="preserve">3.1 Participant flow</w:t>
      </w:r>
    </w:p>
    <w:p>
      <w:pPr>
        <w:jc w:val="left"/>
        <w:spacing w:after="110" w:line="330" w:lineRule="auto"/>
      </w:pPr>
      <w:r>
        <w:rPr>
          <w:sz w:val="22"/>
          <w:szCs w:val="22"/>
          <w:rFonts w:ascii="Arial" w:hAnsi="Arial" w:cs="Noto Naskh Arabic"/>
        </w:rPr>
        <w:t xml:space="preserve">Report exact dates and include a readable CONSORT diagram:</w:t>
      </w:r>
    </w:p>
    <w:p>
      <w:pPr>
        <w:jc w:val="left"/>
        <w:spacing w:after="110" w:line="330" w:lineRule="auto"/>
      </w:pPr>
      <w:r>
        <w:rPr>
          <w:sz w:val="22"/>
          <w:szCs w:val="22"/>
          <w:rFonts w:ascii="Arial" w:hAnsi="Arial" w:cs="Noto Naskh Arabic"/>
        </w:rPr>
        <w:t xml:space="preserve">• assessed for eligibility: 137;</w:t>
      </w:r>
    </w:p>
    <w:p>
      <w:pPr>
        <w:jc w:val="left"/>
        <w:spacing w:after="110" w:line="330" w:lineRule="auto"/>
      </w:pPr>
      <w:r>
        <w:rPr>
          <w:sz w:val="22"/>
          <w:szCs w:val="22"/>
          <w:rFonts w:ascii="Arial" w:hAnsi="Arial" w:cs="Noto Naskh Arabic"/>
        </w:rPr>
        <w:t xml:space="preserve">• excluded before allocation: 54, with mutually exclusive reasons;</w:t>
      </w:r>
    </w:p>
    <w:p>
      <w:pPr>
        <w:jc w:val="left"/>
        <w:spacing w:after="110" w:line="330" w:lineRule="auto"/>
      </w:pPr>
      <w:r>
        <w:rPr>
          <w:sz w:val="22"/>
          <w:szCs w:val="22"/>
          <w:rFonts w:ascii="Arial" w:hAnsi="Arial" w:cs="Noto Naskh Arabic"/>
        </w:rPr>
        <w:t xml:space="preserve">• entered allocation: 83;</w:t>
      </w:r>
    </w:p>
    <w:p>
      <w:pPr>
        <w:jc w:val="left"/>
        <w:spacing w:after="110" w:line="330" w:lineRule="auto"/>
      </w:pPr>
      <w:r>
        <w:rPr>
          <w:sz w:val="22"/>
          <w:szCs w:val="22"/>
          <w:rFonts w:ascii="Arial" w:hAnsi="Arial" w:cs="Noto Naskh Arabic"/>
        </w:rPr>
        <w:t xml:space="preserve">• received allocated intervention: [verify per arm];</w:t>
      </w:r>
    </w:p>
    <w:p>
      <w:pPr>
        <w:jc w:val="left"/>
        <w:spacing w:after="110" w:line="330" w:lineRule="auto"/>
      </w:pPr>
      <w:r>
        <w:rPr>
          <w:sz w:val="22"/>
          <w:szCs w:val="22"/>
          <w:rFonts w:ascii="Arial" w:hAnsi="Arial" w:cs="Noto Naskh Arabic"/>
        </w:rPr>
        <w:t xml:space="preserve">• completed each time point: [verify per arm];</w:t>
      </w:r>
    </w:p>
    <w:p>
      <w:pPr>
        <w:jc w:val="left"/>
        <w:spacing w:after="110" w:line="330" w:lineRule="auto"/>
      </w:pPr>
      <w:r>
        <w:rPr>
          <w:sz w:val="22"/>
          <w:szCs w:val="22"/>
          <w:rFonts w:ascii="Arial" w:hAnsi="Arial" w:cs="Noto Naskh Arabic"/>
        </w:rPr>
        <w:t xml:space="preserve">• included in each analysis: [verify per arm].</w:t>
      </w:r>
    </w:p>
    <w:p>
      <w:pPr>
        <w:jc w:val="left"/>
        <w:spacing w:after="110" w:line="330" w:lineRule="auto"/>
      </w:pPr>
      <w:r>
        <w:rPr>
          <w:sz w:val="22"/>
          <w:szCs w:val="22"/>
          <w:rFonts w:ascii="Arial" w:hAnsi="Arial" w:cs="Noto Naskh Arabic"/>
        </w:rPr>
        <w:t xml:space="preserve">The manuscript reports no post-allocation loss to follow-up. Support this unusual result with attendance and diary-completion logs rather than attributing it to tolerability.</w:t>
      </w:r>
    </w:p>
    <w:p>
      <w:pPr>
        <w:pStyle w:val="Heading3"/>
        <w:jc w:val="left"/>
        <w:spacing w:after="110" w:line="330" w:lineRule="auto"/>
        <w:keepNext/>
      </w:pPr>
      <w:r>
        <w:rPr>
          <w:b/>
          <w:sz w:val="20"/>
          <w:szCs w:val="20"/>
          <w:rFonts w:ascii="Arial" w:hAnsi="Arial" w:cs="Noto Naskh Arabic"/>
        </w:rPr>
        <w:t xml:space="preserve">3.2 Baseline characteristics</w:t>
      </w:r>
    </w:p>
    <w:p>
      <w:pPr>
        <w:jc w:val="left"/>
        <w:spacing w:after="110" w:line="330" w:lineRule="auto"/>
      </w:pPr>
      <w:r>
        <w:rPr>
          <w:sz w:val="22"/>
          <w:szCs w:val="22"/>
          <w:rFonts w:ascii="Arial" w:hAnsi="Arial" w:cs="Noto Naskh Arabic"/>
        </w:rPr>
        <w:t xml:space="preserve">Do not test baseline “homogeneity.” Present descriptive clinical characteristics by allocated group:</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Characteristic</w:t>
            </w:r>
          </w:p>
        </w:tc>
        <w:tc>
          <w:tcPr>
            <w:shd w:fill="E9EFF6"/>
          </w:tcPr>
          <w:p>
            <w:pPr>
              <w:jc w:val="left"/>
              <w:spacing w:after="110" w:line="330" w:lineRule="auto"/>
            </w:pPr>
            <w:r>
              <w:rPr>
                <w:b/>
                <w:sz w:val="18"/>
                <w:szCs w:val="18"/>
                <w:rFonts w:ascii="Arial" w:hAnsi="Arial" w:cs="Noto Naskh Arabic"/>
              </w:rPr>
              <w:t xml:space="preserve">Supraorbital (n=28)</w:t>
            </w:r>
          </w:p>
        </w:tc>
        <w:tc>
          <w:tcPr>
            <w:shd w:fill="E9EFF6"/>
          </w:tcPr>
          <w:p>
            <w:pPr>
              <w:jc w:val="left"/>
              <w:spacing w:after="110" w:line="330" w:lineRule="auto"/>
            </w:pPr>
            <w:r>
              <w:rPr>
                <w:b/>
                <w:sz w:val="18"/>
                <w:szCs w:val="18"/>
                <w:rFonts w:ascii="Arial" w:hAnsi="Arial" w:cs="Noto Naskh Arabic"/>
              </w:rPr>
              <w:t xml:space="preserve">Infraorbital (n=27)</w:t>
            </w:r>
          </w:p>
        </w:tc>
        <w:tc>
          <w:tcPr>
            <w:shd w:fill="E9EFF6"/>
          </w:tcPr>
          <w:p>
            <w:pPr>
              <w:jc w:val="left"/>
              <w:spacing w:after="110" w:line="330" w:lineRule="auto"/>
            </w:pPr>
            <w:r>
              <w:rPr>
                <w:b/>
                <w:sz w:val="18"/>
                <w:szCs w:val="18"/>
                <w:rFonts w:ascii="Arial" w:hAnsi="Arial" w:cs="Noto Naskh Arabic"/>
              </w:rPr>
              <w:t xml:space="preserve">Sham (n=28)</w:t>
            </w:r>
          </w:p>
        </w:tc>
      </w:tr>
      <w:tr>
        <w:tc>
          <w:tcPr/>
          <w:p>
            <w:pPr>
              <w:jc w:val="left"/>
              <w:spacing w:after="110" w:line="330" w:lineRule="auto"/>
            </w:pPr>
            <w:r>
              <w:rPr>
                <w:sz w:val="18"/>
                <w:szCs w:val="18"/>
                <w:rFonts w:ascii="Arial" w:hAnsi="Arial" w:cs="Noto Naskh Arabic"/>
              </w:rPr>
              <w:t xml:space="preserve">Age, years, mean (SD)</w:t>
            </w:r>
          </w:p>
        </w:tc>
        <w:tc>
          <w:tcPr/>
          <w:p>
            <w:pPr>
              <w:jc w:val="left"/>
              <w:spacing w:after="110" w:line="330" w:lineRule="auto"/>
            </w:pPr>
            <w:r>
              <w:rPr>
                <w:sz w:val="18"/>
                <w:szCs w:val="18"/>
                <w:rFonts w:ascii="Arial" w:hAnsi="Arial" w:cs="Noto Naskh Arabic"/>
              </w:rPr>
              <w:t xml:space="preserve">35.8 (7.6)</w:t>
            </w:r>
          </w:p>
        </w:tc>
        <w:tc>
          <w:tcPr/>
          <w:p>
            <w:pPr>
              <w:jc w:val="left"/>
              <w:spacing w:after="110" w:line="330" w:lineRule="auto"/>
            </w:pPr>
            <w:r>
              <w:rPr>
                <w:sz w:val="18"/>
                <w:szCs w:val="18"/>
                <w:rFonts w:ascii="Arial" w:hAnsi="Arial" w:cs="Noto Naskh Arabic"/>
              </w:rPr>
              <w:t xml:space="preserve">36.4 (6.9)</w:t>
            </w:r>
          </w:p>
        </w:tc>
        <w:tc>
          <w:tcPr/>
          <w:p>
            <w:pPr>
              <w:jc w:val="left"/>
              <w:spacing w:after="110" w:line="330" w:lineRule="auto"/>
            </w:pPr>
            <w:r>
              <w:rPr>
                <w:sz w:val="18"/>
                <w:szCs w:val="18"/>
                <w:rFonts w:ascii="Arial" w:hAnsi="Arial" w:cs="Noto Naskh Arabic"/>
              </w:rPr>
              <w:t xml:space="preserve">35.1 (7.2)</w:t>
            </w:r>
          </w:p>
        </w:tc>
      </w:tr>
      <w:tr>
        <w:tc>
          <w:tcPr/>
          <w:p>
            <w:pPr>
              <w:jc w:val="left"/>
              <w:spacing w:after="110" w:line="330" w:lineRule="auto"/>
            </w:pPr>
            <w:r>
              <w:rPr>
                <w:sz w:val="18"/>
                <w:szCs w:val="18"/>
                <w:rFonts w:ascii="Arial" w:hAnsi="Arial" w:cs="Noto Naskh Arabic"/>
              </w:rPr>
              <w:t xml:space="preserve">Female, n (%)</w:t>
            </w:r>
          </w:p>
        </w:tc>
        <w:tc>
          <w:tcPr/>
          <w:p>
            <w:pPr>
              <w:jc w:val="left"/>
              <w:spacing w:after="110" w:line="330" w:lineRule="auto"/>
            </w:pPr>
            <w:r>
              <w:rPr>
                <w:sz w:val="18"/>
                <w:szCs w:val="18"/>
                <w:rFonts w:ascii="Arial" w:hAnsi="Arial" w:cs="Noto Naskh Arabic"/>
              </w:rPr>
              <w:t xml:space="preserve">21 (75.0)</w:t>
            </w:r>
          </w:p>
        </w:tc>
        <w:tc>
          <w:tcPr/>
          <w:p>
            <w:pPr>
              <w:jc w:val="left"/>
              <w:spacing w:after="110" w:line="330" w:lineRule="auto"/>
            </w:pPr>
            <w:r>
              <w:rPr>
                <w:sz w:val="18"/>
                <w:szCs w:val="18"/>
                <w:rFonts w:ascii="Arial" w:hAnsi="Arial" w:cs="Noto Naskh Arabic"/>
              </w:rPr>
              <w:t xml:space="preserve">20 (74.1)</w:t>
            </w:r>
          </w:p>
        </w:tc>
        <w:tc>
          <w:tcPr/>
          <w:p>
            <w:pPr>
              <w:jc w:val="left"/>
              <w:spacing w:after="110" w:line="330" w:lineRule="auto"/>
            </w:pPr>
            <w:r>
              <w:rPr>
                <w:sz w:val="18"/>
                <w:szCs w:val="18"/>
                <w:rFonts w:ascii="Arial" w:hAnsi="Arial" w:cs="Noto Naskh Arabic"/>
              </w:rPr>
              <w:t xml:space="preserve">22 (78.6)</w:t>
            </w:r>
          </w:p>
        </w:tc>
      </w:tr>
      <w:tr>
        <w:tc>
          <w:tcPr/>
          <w:p>
            <w:pPr>
              <w:jc w:val="left"/>
              <w:spacing w:after="110" w:line="330" w:lineRule="auto"/>
            </w:pPr>
            <w:r>
              <w:rPr>
                <w:sz w:val="18"/>
                <w:szCs w:val="18"/>
                <w:rFonts w:ascii="Arial" w:hAnsi="Arial" w:cs="Noto Naskh Arabic"/>
              </w:rPr>
              <w:t xml:space="preserve">Migraine with aura, n (%)</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Chronic migraine, n (%)</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Disease duration, years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Headache days/28 days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Migraine days/28 days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Migraine attacks/28 days</w:t>
            </w:r>
          </w:p>
        </w:tc>
        <w:tc>
          <w:tcPr/>
          <w:p>
            <w:pPr>
              <w:jc w:val="left"/>
              <w:spacing w:after="110" w:line="330" w:lineRule="auto"/>
            </w:pPr>
            <w:r>
              <w:rPr>
                <w:sz w:val="18"/>
                <w:szCs w:val="18"/>
                <w:rFonts w:ascii="Arial" w:hAnsi="Arial" w:cs="Noto Naskh Arabic"/>
              </w:rPr>
              <w:t xml:space="preserve">14.18 (3.95)</w:t>
            </w:r>
          </w:p>
        </w:tc>
        <w:tc>
          <w:tcPr/>
          <w:p>
            <w:pPr>
              <w:jc w:val="left"/>
              <w:spacing w:after="110" w:line="330" w:lineRule="auto"/>
            </w:pPr>
            <w:r>
              <w:rPr>
                <w:sz w:val="18"/>
                <w:szCs w:val="18"/>
                <w:rFonts w:ascii="Arial" w:hAnsi="Arial" w:cs="Noto Naskh Arabic"/>
              </w:rPr>
              <w:t xml:space="preserve">15.13 (4.51)</w:t>
            </w:r>
          </w:p>
        </w:tc>
        <w:tc>
          <w:tcPr/>
          <w:p>
            <w:pPr>
              <w:jc w:val="left"/>
              <w:spacing w:after="110" w:line="330" w:lineRule="auto"/>
            </w:pPr>
            <w:r>
              <w:rPr>
                <w:sz w:val="18"/>
                <w:szCs w:val="18"/>
                <w:rFonts w:ascii="Arial" w:hAnsi="Arial" w:cs="Noto Naskh Arabic"/>
              </w:rPr>
              <w:t xml:space="preserve">12.32 (4.99)</w:t>
            </w:r>
          </w:p>
        </w:tc>
      </w:tr>
      <w:tr>
        <w:tc>
          <w:tcPr/>
          <w:p>
            <w:pPr>
              <w:jc w:val="left"/>
              <w:spacing w:after="110" w:line="330" w:lineRule="auto"/>
            </w:pPr>
            <w:r>
              <w:rPr>
                <w:sz w:val="18"/>
                <w:szCs w:val="18"/>
                <w:rFonts w:ascii="Arial" w:hAnsi="Arial" w:cs="Noto Naskh Arabic"/>
              </w:rPr>
              <w:t xml:space="preserve">VAS/NRS</w:t>
            </w:r>
          </w:p>
        </w:tc>
        <w:tc>
          <w:tcPr/>
          <w:p>
            <w:pPr>
              <w:jc w:val="left"/>
              <w:spacing w:after="110" w:line="330" w:lineRule="auto"/>
            </w:pPr>
            <w:r>
              <w:rPr>
                <w:sz w:val="18"/>
                <w:szCs w:val="18"/>
                <w:rFonts w:ascii="Arial" w:hAnsi="Arial" w:cs="Noto Naskh Arabic"/>
              </w:rPr>
              <w:t xml:space="preserve">7.30 (1.29)</w:t>
            </w:r>
          </w:p>
        </w:tc>
        <w:tc>
          <w:tcPr/>
          <w:p>
            <w:pPr>
              <w:jc w:val="left"/>
              <w:spacing w:after="110" w:line="330" w:lineRule="auto"/>
            </w:pPr>
            <w:r>
              <w:rPr>
                <w:sz w:val="18"/>
                <w:szCs w:val="18"/>
                <w:rFonts w:ascii="Arial" w:hAnsi="Arial" w:cs="Noto Naskh Arabic"/>
              </w:rPr>
              <w:t xml:space="preserve">7.07 (1.47)</w:t>
            </w:r>
          </w:p>
        </w:tc>
        <w:tc>
          <w:tcPr/>
          <w:p>
            <w:pPr>
              <w:jc w:val="left"/>
              <w:spacing w:after="110" w:line="330" w:lineRule="auto"/>
            </w:pPr>
            <w:r>
              <w:rPr>
                <w:sz w:val="18"/>
                <w:szCs w:val="18"/>
                <w:rFonts w:ascii="Arial" w:hAnsi="Arial" w:cs="Noto Naskh Arabic"/>
              </w:rPr>
              <w:t xml:space="preserve">7.10 (1.11)</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20.02 (5.22)</w:t>
            </w:r>
          </w:p>
        </w:tc>
        <w:tc>
          <w:tcPr/>
          <w:p>
            <w:pPr>
              <w:jc w:val="left"/>
              <w:spacing w:after="110" w:line="330" w:lineRule="auto"/>
            </w:pPr>
            <w:r>
              <w:rPr>
                <w:sz w:val="18"/>
                <w:szCs w:val="18"/>
                <w:rFonts w:ascii="Arial" w:hAnsi="Arial" w:cs="Noto Naskh Arabic"/>
              </w:rPr>
              <w:t xml:space="preserve">17.94 (6.30)</w:t>
            </w:r>
          </w:p>
        </w:tc>
        <w:tc>
          <w:tcPr/>
          <w:p>
            <w:pPr>
              <w:jc w:val="left"/>
              <w:spacing w:after="110" w:line="330" w:lineRule="auto"/>
            </w:pPr>
            <w:r>
              <w:rPr>
                <w:sz w:val="18"/>
                <w:szCs w:val="18"/>
                <w:rFonts w:ascii="Arial" w:hAnsi="Arial" w:cs="Noto Naskh Arabic"/>
              </w:rPr>
              <w:t xml:space="preserve">19.36 (4.05)</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62.58 (4.78)</w:t>
            </w:r>
          </w:p>
        </w:tc>
        <w:tc>
          <w:tcPr/>
          <w:p>
            <w:pPr>
              <w:jc w:val="left"/>
              <w:spacing w:after="110" w:line="330" w:lineRule="auto"/>
            </w:pPr>
            <w:r>
              <w:rPr>
                <w:sz w:val="18"/>
                <w:szCs w:val="18"/>
                <w:rFonts w:ascii="Arial" w:hAnsi="Arial" w:cs="Noto Naskh Arabic"/>
              </w:rPr>
              <w:t xml:space="preserve">64.22 (5.93)</w:t>
            </w:r>
          </w:p>
        </w:tc>
        <w:tc>
          <w:tcPr/>
          <w:p>
            <w:pPr>
              <w:jc w:val="left"/>
              <w:spacing w:after="110" w:line="330" w:lineRule="auto"/>
            </w:pPr>
            <w:r>
              <w:rPr>
                <w:sz w:val="18"/>
                <w:szCs w:val="18"/>
                <w:rFonts w:ascii="Arial" w:hAnsi="Arial" w:cs="Noto Naskh Arabic"/>
              </w:rPr>
              <w:t xml:space="preserve">61.11 (3.74)</w:t>
            </w:r>
          </w:p>
        </w:tc>
      </w:tr>
      <w:tr>
        <w:tc>
          <w:tcPr/>
          <w:p>
            <w:pPr>
              <w:jc w:val="left"/>
              <w:spacing w:after="110" w:line="330" w:lineRule="auto"/>
            </w:pPr>
            <w:r>
              <w:rPr>
                <w:sz w:val="18"/>
                <w:szCs w:val="18"/>
                <w:rFonts w:ascii="Arial" w:hAnsi="Arial" w:cs="Noto Naskh Arabic"/>
              </w:rPr>
              <w:t xml:space="preserve">Analgesic-use occasions</w:t>
            </w:r>
          </w:p>
        </w:tc>
        <w:tc>
          <w:tcPr/>
          <w:p>
            <w:pPr>
              <w:jc w:val="left"/>
              <w:spacing w:after="110" w:line="330" w:lineRule="auto"/>
            </w:pPr>
            <w:r>
              <w:rPr>
                <w:sz w:val="18"/>
                <w:szCs w:val="18"/>
                <w:rFonts w:ascii="Arial" w:hAnsi="Arial" w:cs="Noto Naskh Arabic"/>
              </w:rPr>
              <w:t xml:space="preserve">14.62 (4.35)</w:t>
            </w:r>
          </w:p>
        </w:tc>
        <w:tc>
          <w:tcPr/>
          <w:p>
            <w:pPr>
              <w:jc w:val="left"/>
              <w:spacing w:after="110" w:line="330" w:lineRule="auto"/>
            </w:pPr>
            <w:r>
              <w:rPr>
                <w:sz w:val="18"/>
                <w:szCs w:val="18"/>
                <w:rFonts w:ascii="Arial" w:hAnsi="Arial" w:cs="Noto Naskh Arabic"/>
              </w:rPr>
              <w:t xml:space="preserve">14.72 (3.50)</w:t>
            </w:r>
          </w:p>
        </w:tc>
        <w:tc>
          <w:tcPr/>
          <w:p>
            <w:pPr>
              <w:jc w:val="left"/>
              <w:spacing w:after="110" w:line="330" w:lineRule="auto"/>
            </w:pPr>
            <w:r>
              <w:rPr>
                <w:sz w:val="18"/>
                <w:szCs w:val="18"/>
                <w:rFonts w:ascii="Arial" w:hAnsi="Arial" w:cs="Noto Naskh Arabic"/>
              </w:rPr>
              <w:t xml:space="preserve">14.36 (4.27)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26.43 (6.49)</w:t>
            </w:r>
          </w:p>
        </w:tc>
        <w:tc>
          <w:tcPr/>
          <w:p>
            <w:pPr>
              <w:jc w:val="left"/>
              <w:spacing w:after="110" w:line="330" w:lineRule="auto"/>
            </w:pPr>
            <w:r>
              <w:rPr>
                <w:sz w:val="18"/>
                <w:szCs w:val="18"/>
                <w:rFonts w:ascii="Arial" w:hAnsi="Arial" w:cs="Noto Naskh Arabic"/>
              </w:rPr>
              <w:t xml:space="preserve">26.52 (6.23)</w:t>
            </w:r>
          </w:p>
        </w:tc>
        <w:tc>
          <w:tcPr/>
          <w:p>
            <w:pPr>
              <w:jc w:val="left"/>
              <w:spacing w:after="110" w:line="330" w:lineRule="auto"/>
            </w:pPr>
            <w:r>
              <w:rPr>
                <w:sz w:val="18"/>
                <w:szCs w:val="18"/>
                <w:rFonts w:ascii="Arial" w:hAnsi="Arial" w:cs="Noto Naskh Arabic"/>
              </w:rPr>
              <w:t xml:space="preserve">25.42 (6.40)</w:t>
            </w:r>
          </w:p>
        </w:tc>
      </w:tr>
      <w:tr>
        <w:tc>
          <w:tcPr/>
          <w:p>
            <w:pPr>
              <w:jc w:val="left"/>
              <w:spacing w:after="110" w:line="330" w:lineRule="auto"/>
            </w:pPr>
            <w:r>
              <w:rPr>
                <w:sz w:val="18"/>
                <w:szCs w:val="18"/>
                <w:rFonts w:ascii="Arial" w:hAnsi="Arial" w:cs="Noto Naskh Arabic"/>
              </w:rPr>
              <w:t xml:space="preserve">Previous preventive failures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Acute medication classes</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bl>
    <w:p>
      <w:pPr>
        <w:jc w:val="left"/>
        <w:spacing w:after="110" w:line="330" w:lineRule="auto"/>
      </w:pPr>
      <w:r>
        <w:rPr>
          <w:sz w:val="22"/>
          <w:szCs w:val="22"/>
          <w:rFonts w:ascii="Arial" w:hAnsi="Arial" w:cs="Noto Naskh Arabic"/>
        </w:rPr>
        <w:t xml:space="preserve">Check all values against participant-level data. The age and sex p-values in the supplied manuscript are not reproducible from the aggregate table and should be removed.</w:t>
      </w:r>
    </w:p>
    <w:p>
      <w:pPr>
        <w:pStyle w:val="Heading3"/>
        <w:jc w:val="left"/>
        <w:spacing w:after="110" w:line="330" w:lineRule="auto"/>
        <w:keepNext/>
      </w:pPr>
      <w:r>
        <w:rPr>
          <w:b/>
          <w:sz w:val="20"/>
          <w:szCs w:val="20"/>
          <w:rFonts w:ascii="Arial" w:hAnsi="Arial" w:cs="Noto Naskh Arabic"/>
        </w:rPr>
        <w:t xml:space="preserve">3.3 Primary outcome</w:t>
      </w:r>
    </w:p>
    <w:p>
      <w:pPr>
        <w:jc w:val="left"/>
        <w:spacing w:after="110" w:line="330" w:lineRule="auto"/>
      </w:pPr>
      <w:r>
        <w:rPr>
          <w:sz w:val="22"/>
          <w:szCs w:val="22"/>
          <w:rFonts w:ascii="Arial" w:hAnsi="Arial" w:cs="Noto Naskh Arabic"/>
        </w:rPr>
        <w:t xml:space="preserve">The observed aggregate values were:</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c>
          <w:tcPr>
            <w:shd w:fill="E9EFF6"/>
          </w:tcPr>
          <w:p>
            <w:pPr>
              <w:jc w:val="left"/>
              <w:spacing w:after="110" w:line="330" w:lineRule="auto"/>
            </w:pPr>
            <w:r>
              <w:rPr>
                <w:b/>
                <w:sz w:val="18"/>
                <w:szCs w:val="18"/>
                <w:rFonts w:ascii="Arial" w:hAnsi="Arial" w:cs="Noto Naskh Arabic"/>
              </w:rPr>
              <w:t xml:space="preserve">Unadjusted mean change</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14.18 (3.95)</w:t>
            </w:r>
          </w:p>
        </w:tc>
        <w:tc>
          <w:tcPr/>
          <w:p>
            <w:pPr>
              <w:jc w:val="left"/>
              <w:spacing w:after="110" w:line="330" w:lineRule="auto"/>
            </w:pPr>
            <w:r>
              <w:rPr>
                <w:sz w:val="18"/>
                <w:szCs w:val="18"/>
                <w:rFonts w:ascii="Arial" w:hAnsi="Arial" w:cs="Noto Naskh Arabic"/>
              </w:rPr>
              <w:t xml:space="preserve">7.68 (2.84)</w:t>
            </w:r>
          </w:p>
        </w:tc>
        <w:tc>
          <w:tcPr/>
          <w:p>
            <w:pPr>
              <w:jc w:val="left"/>
              <w:spacing w:after="110" w:line="330" w:lineRule="auto"/>
            </w:pPr>
            <w:r>
              <w:rPr>
                <w:sz w:val="18"/>
                <w:szCs w:val="18"/>
                <w:rFonts w:ascii="Arial" w:hAnsi="Arial" w:cs="Noto Naskh Arabic"/>
              </w:rPr>
              <w:t xml:space="preserve">6.59 (2.70)</w:t>
            </w:r>
          </w:p>
        </w:tc>
        <w:tc>
          <w:tcPr/>
          <w:p>
            <w:pPr>
              <w:jc w:val="left"/>
              <w:spacing w:after="110" w:line="330" w:lineRule="auto"/>
            </w:pPr>
            <w:r>
              <w:rPr>
                <w:sz w:val="18"/>
                <w:szCs w:val="18"/>
                <w:rFonts w:ascii="Arial" w:hAnsi="Arial" w:cs="Noto Naskh Arabic"/>
              </w:rPr>
              <w:t xml:space="preserve">−7.59</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15.13 (4.51)</w:t>
            </w:r>
          </w:p>
        </w:tc>
        <w:tc>
          <w:tcPr/>
          <w:p>
            <w:pPr>
              <w:jc w:val="left"/>
              <w:spacing w:after="110" w:line="330" w:lineRule="auto"/>
            </w:pPr>
            <w:r>
              <w:rPr>
                <w:sz w:val="18"/>
                <w:szCs w:val="18"/>
                <w:rFonts w:ascii="Arial" w:hAnsi="Arial" w:cs="Noto Naskh Arabic"/>
              </w:rPr>
              <w:t xml:space="preserve">9.19 (4.03)</w:t>
            </w:r>
          </w:p>
        </w:tc>
        <w:tc>
          <w:tcPr/>
          <w:p>
            <w:pPr>
              <w:jc w:val="left"/>
              <w:spacing w:after="110" w:line="330" w:lineRule="auto"/>
            </w:pPr>
            <w:r>
              <w:rPr>
                <w:sz w:val="18"/>
                <w:szCs w:val="18"/>
                <w:rFonts w:ascii="Arial" w:hAnsi="Arial" w:cs="Noto Naskh Arabic"/>
              </w:rPr>
              <w:t xml:space="preserve">6.16 (2.48)</w:t>
            </w:r>
          </w:p>
        </w:tc>
        <w:tc>
          <w:tcPr/>
          <w:p>
            <w:pPr>
              <w:jc w:val="left"/>
              <w:spacing w:after="110" w:line="330" w:lineRule="auto"/>
            </w:pPr>
            <w:r>
              <w:rPr>
                <w:sz w:val="18"/>
                <w:szCs w:val="18"/>
                <w:rFonts w:ascii="Arial" w:hAnsi="Arial" w:cs="Noto Naskh Arabic"/>
              </w:rPr>
              <w:t xml:space="preserve">−8.97</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12.32 (4.99)</w:t>
            </w:r>
          </w:p>
        </w:tc>
        <w:tc>
          <w:tcPr/>
          <w:p>
            <w:pPr>
              <w:jc w:val="left"/>
              <w:spacing w:after="110" w:line="330" w:lineRule="auto"/>
            </w:pPr>
            <w:r>
              <w:rPr>
                <w:sz w:val="18"/>
                <w:szCs w:val="18"/>
                <w:rFonts w:ascii="Arial" w:hAnsi="Arial" w:cs="Noto Naskh Arabic"/>
              </w:rPr>
              <w:t xml:space="preserve">14.27 (4.15)</w:t>
            </w:r>
          </w:p>
        </w:tc>
        <w:tc>
          <w:tcPr/>
          <w:p>
            <w:pPr>
              <w:jc w:val="left"/>
              <w:spacing w:after="110" w:line="330" w:lineRule="auto"/>
            </w:pPr>
            <w:r>
              <w:rPr>
                <w:sz w:val="18"/>
                <w:szCs w:val="18"/>
                <w:rFonts w:ascii="Arial" w:hAnsi="Arial" w:cs="Noto Naskh Arabic"/>
              </w:rPr>
              <w:t xml:space="preserve">12.94 (5.01)</w:t>
            </w:r>
          </w:p>
        </w:tc>
        <w:tc>
          <w:tcPr/>
          <w:p>
            <w:pPr>
              <w:jc w:val="left"/>
              <w:spacing w:after="110" w:line="330" w:lineRule="auto"/>
            </w:pPr>
            <w:r>
              <w:rPr>
                <w:sz w:val="18"/>
                <w:szCs w:val="18"/>
                <w:rFonts w:ascii="Arial" w:hAnsi="Arial" w:cs="Noto Naskh Arabic"/>
              </w:rPr>
              <w:t xml:space="preserve">+0.62</w:t>
            </w:r>
          </w:p>
        </w:tc>
      </w:tr>
    </w:tbl>
    <w:p>
      <w:pPr>
        <w:jc w:val="left"/>
        <w:spacing w:after="110" w:line="330" w:lineRule="auto"/>
      </w:pPr>
      <w:r>
        <w:rPr>
          <w:sz w:val="22"/>
          <w:szCs w:val="22"/>
          <w:rFonts w:ascii="Arial" w:hAnsi="Arial" w:cs="Noto Naskh Arabic"/>
        </w:rPr>
        <w:t xml:space="preserve">At three months, the unadjusted endpoint differences were:</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tblGrid>
      <w:tr>
        <w:tc>
          <w:tcPr>
            <w:shd w:fill="E9EFF6"/>
          </w:tcPr>
          <w:p>
            <w:pPr>
              <w:jc w:val="left"/>
              <w:spacing w:after="110" w:line="330" w:lineRule="auto"/>
            </w:pPr>
            <w:r>
              <w:rPr>
                <w:b/>
                <w:sz w:val="18"/>
                <w:szCs w:val="18"/>
                <w:rFonts w:ascii="Arial" w:hAnsi="Arial" w:cs="Noto Naskh Arabic"/>
              </w:rPr>
              <w:t xml:space="preserve">Contrast</w:t>
            </w:r>
          </w:p>
        </w:tc>
        <w:tc>
          <w:tcPr>
            <w:shd w:fill="E9EFF6"/>
          </w:tcPr>
          <w:p>
            <w:pPr>
              <w:jc w:val="left"/>
              <w:spacing w:after="110" w:line="330" w:lineRule="auto"/>
            </w:pPr>
            <w:r>
              <w:rPr>
                <w:b/>
                <w:sz w:val="18"/>
                <w:szCs w:val="18"/>
                <w:rFonts w:ascii="Arial" w:hAnsi="Arial" w:cs="Noto Naskh Arabic"/>
              </w:rPr>
              <w:t xml:space="preserve">Mean difference (approximate Welch 95% CI)</w:t>
            </w:r>
          </w:p>
        </w:tc>
      </w:tr>
      <w:tr>
        <w:tc>
          <w:tcPr/>
          <w:p>
            <w:pPr>
              <w:jc w:val="left"/>
              <w:spacing w:after="110" w:line="330" w:lineRule="auto"/>
            </w:pPr>
            <w:r>
              <w:rPr>
                <w:sz w:val="18"/>
                <w:szCs w:val="18"/>
                <w:rFonts w:ascii="Arial" w:hAnsi="Arial" w:cs="Noto Naskh Arabic"/>
              </w:rPr>
              <w:t xml:space="preserve">Supraorbital − sham</w:t>
            </w:r>
          </w:p>
        </w:tc>
        <w:tc>
          <w:tcPr/>
          <w:p>
            <w:pPr>
              <w:jc w:val="left"/>
              <w:spacing w:after="110" w:line="330" w:lineRule="auto"/>
            </w:pPr>
            <w:r>
              <w:rPr>
                <w:sz w:val="18"/>
                <w:szCs w:val="18"/>
                <w:rFonts w:ascii="Arial" w:hAnsi="Arial" w:cs="Noto Naskh Arabic"/>
              </w:rPr>
              <w:t xml:space="preserve">−6.35 (−8.52 to −4.18)</w:t>
            </w:r>
          </w:p>
        </w:tc>
      </w:tr>
      <w:tr>
        <w:tc>
          <w:tcPr/>
          <w:p>
            <w:pPr>
              <w:jc w:val="left"/>
              <w:spacing w:after="110" w:line="330" w:lineRule="auto"/>
            </w:pPr>
            <w:r>
              <w:rPr>
                <w:sz w:val="18"/>
                <w:szCs w:val="18"/>
                <w:rFonts w:ascii="Arial" w:hAnsi="Arial" w:cs="Noto Naskh Arabic"/>
              </w:rPr>
              <w:t xml:space="preserve">Infraorbital − sham</w:t>
            </w:r>
          </w:p>
        </w:tc>
        <w:tc>
          <w:tcPr/>
          <w:p>
            <w:pPr>
              <w:jc w:val="left"/>
              <w:spacing w:after="110" w:line="330" w:lineRule="auto"/>
            </w:pPr>
            <w:r>
              <w:rPr>
                <w:sz w:val="18"/>
                <w:szCs w:val="18"/>
                <w:rFonts w:ascii="Arial" w:hAnsi="Arial" w:cs="Noto Naskh Arabic"/>
              </w:rPr>
              <w:t xml:space="preserve">−6.78 (−8.92 to −4.64)</w:t>
            </w:r>
          </w:p>
        </w:tc>
      </w:tr>
      <w:tr>
        <w:tc>
          <w:tcPr/>
          <w:p>
            <w:pPr>
              <w:jc w:val="left"/>
              <w:spacing w:after="110" w:line="330" w:lineRule="auto"/>
            </w:pPr>
            <w:r>
              <w:rPr>
                <w:sz w:val="18"/>
                <w:szCs w:val="18"/>
                <w:rFonts w:ascii="Arial" w:hAnsi="Arial" w:cs="Noto Naskh Arabic"/>
              </w:rPr>
              <w:t xml:space="preserve">Supraorbital − infraorbital</w:t>
            </w:r>
          </w:p>
        </w:tc>
        <w:tc>
          <w:tcPr/>
          <w:p>
            <w:pPr>
              <w:jc w:val="left"/>
              <w:spacing w:after="110" w:line="330" w:lineRule="auto"/>
            </w:pPr>
            <w:r>
              <w:rPr>
                <w:sz w:val="18"/>
                <w:szCs w:val="18"/>
                <w:rFonts w:ascii="Arial" w:hAnsi="Arial" w:cs="Noto Naskh Arabic"/>
              </w:rPr>
              <w:t xml:space="preserve">0.43 (−0.97 to 1.83)</w:t>
            </w:r>
          </w:p>
        </w:tc>
      </w:tr>
    </w:tbl>
    <w:p>
      <w:pPr>
        <w:jc w:val="left"/>
        <w:spacing w:after="110" w:line="330" w:lineRule="auto"/>
      </w:pPr>
      <w:r>
        <w:rPr>
          <w:sz w:val="22"/>
          <w:szCs w:val="22"/>
          <w:rFonts w:ascii="Arial" w:hAnsi="Arial" w:cs="Noto Naskh Arabic"/>
        </w:rPr>
        <w:t xml:space="preserve">These values are descriptive and do not account for baseline differences. Replace the following template after participant-level reanalysis:</w:t>
      </w:r>
    </w:p>
    <w:p>
      <w:pPr>
        <w:bidi/>
        <w:jc w:val="right"/>
        <w:spacing w:after="110" w:line="330" w:lineRule="auto"/>
      </w:pPr>
      <w:r>
        <w:rPr>
          <w:sz w:val="21"/>
          <w:szCs w:val="21"/>
          <w:rFonts w:ascii="Arial" w:hAnsi="Arial" w:cs="Noto Naskh Arabic"/>
        </w:rPr>
        <w:t xml:space="preserve">نکته: In the prespecified baseline-adjusted model, the estimated [rate ratio/absolute marginal difference] for supraorbital TENS versus sham was [estimate] (multiplicity-adjusted 95% CI [x to y], p=[value]), and for infraorbital TENS versus sham was [estimate] ([x to y], p=[value]). The exploratory supraorbital–infraorbital estimate was [estimate] ([x to y]); this trial did not test equivalence or non-inferiority.</w:t>
      </w:r>
    </w:p>
    <w:p>
      <w:pPr>
        <w:jc w:val="left"/>
        <w:spacing w:after="110" w:line="330" w:lineRule="auto"/>
      </w:pPr>
      <w:r>
        <w:rPr>
          <w:sz w:val="22"/>
          <w:szCs w:val="22"/>
          <w:rFonts w:ascii="Arial" w:hAnsi="Arial" w:cs="Noto Naskh Arabic"/>
        </w:rPr>
        <w:t xml:space="preserve">Do not use separate within-group Friedman p-values as evidence of treatment efficacy.</w:t>
      </w:r>
    </w:p>
    <w:p>
      <w:pPr>
        <w:pStyle w:val="Heading3"/>
        <w:jc w:val="left"/>
        <w:spacing w:after="110" w:line="330" w:lineRule="auto"/>
        <w:keepNext/>
      </w:pPr>
      <w:r>
        <w:rPr>
          <w:b/>
          <w:sz w:val="20"/>
          <w:szCs w:val="20"/>
          <w:rFonts w:ascii="Arial" w:hAnsi="Arial" w:cs="Noto Naskh Arabic"/>
        </w:rPr>
        <w:t xml:space="preserve">3.4 Secondary outcomes</w:t>
      </w:r>
    </w:p>
    <w:p>
      <w:pPr>
        <w:jc w:val="left"/>
        <w:spacing w:after="110" w:line="330" w:lineRule="auto"/>
      </w:pPr>
      <w:r>
        <w:rPr>
          <w:sz w:val="22"/>
          <w:szCs w:val="22"/>
          <w:rFonts w:ascii="Arial" w:hAnsi="Arial" w:cs="Noto Naskh Arabic"/>
        </w:rPr>
        <w:t xml:space="preserve">Aggregate three-month outcomes and corrected descriptive Welch intervals: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Outcome</w:t>
            </w:r>
          </w:p>
        </w:tc>
        <w:tc>
          <w:tcPr>
            <w:shd w:fill="E9EFF6"/>
          </w:tcPr>
          <w:p>
            <w:pPr>
              <w:jc w:val="left"/>
              <w:spacing w:after="110" w:line="330" w:lineRule="auto"/>
            </w:pPr>
            <w:r>
              <w:rPr>
                <w:b/>
                <w:sz w:val="18"/>
                <w:szCs w:val="18"/>
                <w:rFonts w:ascii="Arial" w:hAnsi="Arial" w:cs="Noto Naskh Arabic"/>
              </w:rPr>
              <w:t xml:space="preserve">Supra mean (SD)</w:t>
            </w:r>
          </w:p>
        </w:tc>
        <w:tc>
          <w:tcPr>
            <w:shd w:fill="E9EFF6"/>
          </w:tcPr>
          <w:p>
            <w:pPr>
              <w:jc w:val="left"/>
              <w:spacing w:after="110" w:line="330" w:lineRule="auto"/>
            </w:pPr>
            <w:r>
              <w:rPr>
                <w:b/>
                <w:sz w:val="18"/>
                <w:szCs w:val="18"/>
                <w:rFonts w:ascii="Arial" w:hAnsi="Arial" w:cs="Noto Naskh Arabic"/>
              </w:rPr>
              <w:t xml:space="preserve">Infra mean (SD)</w:t>
            </w:r>
          </w:p>
        </w:tc>
        <w:tc>
          <w:tcPr>
            <w:shd w:fill="E9EFF6"/>
          </w:tcPr>
          <w:p>
            <w:pPr>
              <w:jc w:val="left"/>
              <w:spacing w:after="110" w:line="330" w:lineRule="auto"/>
            </w:pPr>
            <w:r>
              <w:rPr>
                <w:b/>
                <w:sz w:val="18"/>
                <w:szCs w:val="18"/>
                <w:rFonts w:ascii="Arial" w:hAnsi="Arial" w:cs="Noto Naskh Arabic"/>
              </w:rPr>
              <w:t xml:space="preserve">Sham mean (SD)</w:t>
            </w:r>
          </w:p>
        </w:tc>
        <w:tc>
          <w:tcPr>
            <w:shd w:fill="E9EFF6"/>
          </w:tcPr>
          <w:p>
            <w:pPr>
              <w:jc w:val="left"/>
              <w:spacing w:after="110" w:line="330" w:lineRule="auto"/>
            </w:pPr>
            <w:r>
              <w:rPr>
                <w:b/>
                <w:sz w:val="18"/>
                <w:szCs w:val="18"/>
                <w:rFonts w:ascii="Arial" w:hAnsi="Arial" w:cs="Noto Naskh Arabic"/>
              </w:rPr>
              <w:t xml:space="preserve">Supra−sham MD (95% CI)</w:t>
            </w:r>
          </w:p>
        </w:tc>
        <w:tc>
          <w:tcPr>
            <w:shd w:fill="E9EFF6"/>
          </w:tcPr>
          <w:p>
            <w:pPr>
              <w:jc w:val="left"/>
              <w:spacing w:after="110" w:line="330" w:lineRule="auto"/>
            </w:pPr>
            <w:r>
              <w:rPr>
                <w:b/>
                <w:sz w:val="18"/>
                <w:szCs w:val="18"/>
                <w:rFonts w:ascii="Arial" w:hAnsi="Arial" w:cs="Noto Naskh Arabic"/>
              </w:rPr>
              <w:t xml:space="preserve">Infra−sham MD (95% CI)</w:t>
            </w:r>
          </w:p>
        </w:tc>
        <w:tc>
          <w:tcPr>
            <w:shd w:fill="E9EFF6"/>
          </w:tcPr>
          <w:p>
            <w:pPr>
              <w:jc w:val="left"/>
              <w:spacing w:after="110" w:line="330" w:lineRule="auto"/>
            </w:pPr>
            <w:r>
              <w:rPr>
                <w:b/>
                <w:sz w:val="18"/>
                <w:szCs w:val="18"/>
                <w:rFonts w:ascii="Arial" w:hAnsi="Arial" w:cs="Noto Naskh Arabic"/>
              </w:rPr>
              <w:t xml:space="preserve">Supra−infra MD (95% CI)</w:t>
            </w:r>
          </w:p>
        </w:tc>
      </w:tr>
      <w:tr>
        <w:tc>
          <w:tcPr/>
          <w:p>
            <w:pPr>
              <w:jc w:val="left"/>
              <w:spacing w:after="110" w:line="330" w:lineRule="auto"/>
            </w:pPr>
            <w:r>
              <w:rPr>
                <w:sz w:val="18"/>
                <w:szCs w:val="18"/>
                <w:rFonts w:ascii="Arial" w:hAnsi="Arial" w:cs="Noto Naskh Arabic"/>
              </w:rPr>
              <w:t xml:space="preserve">Pain intensity</w:t>
            </w:r>
          </w:p>
        </w:tc>
        <w:tc>
          <w:tcPr/>
          <w:p>
            <w:pPr>
              <w:jc w:val="left"/>
              <w:spacing w:after="110" w:line="330" w:lineRule="auto"/>
            </w:pPr>
            <w:r>
              <w:rPr>
                <w:sz w:val="18"/>
                <w:szCs w:val="18"/>
                <w:rFonts w:ascii="Arial" w:hAnsi="Arial" w:cs="Noto Naskh Arabic"/>
              </w:rPr>
              <w:t xml:space="preserve">3.92 (0.97)</w:t>
            </w:r>
          </w:p>
        </w:tc>
        <w:tc>
          <w:tcPr/>
          <w:p>
            <w:pPr>
              <w:jc w:val="left"/>
              <w:spacing w:after="110" w:line="330" w:lineRule="auto"/>
            </w:pPr>
            <w:r>
              <w:rPr>
                <w:sz w:val="18"/>
                <w:szCs w:val="18"/>
                <w:rFonts w:ascii="Arial" w:hAnsi="Arial" w:cs="Noto Naskh Arabic"/>
              </w:rPr>
              <w:t xml:space="preserve">3.90 (1.33)</w:t>
            </w:r>
          </w:p>
        </w:tc>
        <w:tc>
          <w:tcPr/>
          <w:p>
            <w:pPr>
              <w:jc w:val="left"/>
              <w:spacing w:after="110" w:line="330" w:lineRule="auto"/>
            </w:pPr>
            <w:r>
              <w:rPr>
                <w:sz w:val="18"/>
                <w:szCs w:val="18"/>
                <w:rFonts w:ascii="Arial" w:hAnsi="Arial" w:cs="Noto Naskh Arabic"/>
              </w:rPr>
              <w:t xml:space="preserve">6.53 (1.02)</w:t>
            </w:r>
          </w:p>
        </w:tc>
        <w:tc>
          <w:tcPr/>
          <w:p>
            <w:pPr>
              <w:jc w:val="left"/>
              <w:spacing w:after="110" w:line="330" w:lineRule="auto"/>
            </w:pPr>
            <w:r>
              <w:rPr>
                <w:sz w:val="18"/>
                <w:szCs w:val="18"/>
                <w:rFonts w:ascii="Arial" w:hAnsi="Arial" w:cs="Noto Naskh Arabic"/>
              </w:rPr>
              <w:t xml:space="preserve">−2.61 (−3.14, −2.08)</w:t>
            </w:r>
          </w:p>
        </w:tc>
        <w:tc>
          <w:tcPr/>
          <w:p>
            <w:pPr>
              <w:jc w:val="left"/>
              <w:spacing w:after="110" w:line="330" w:lineRule="auto"/>
            </w:pPr>
            <w:r>
              <w:rPr>
                <w:sz w:val="18"/>
                <w:szCs w:val="18"/>
                <w:rFonts w:ascii="Arial" w:hAnsi="Arial" w:cs="Noto Naskh Arabic"/>
              </w:rPr>
              <w:t xml:space="preserve">−2.63 (−3.27, −1.99)</w:t>
            </w:r>
          </w:p>
        </w:tc>
        <w:tc>
          <w:tcPr/>
          <w:p>
            <w:pPr>
              <w:jc w:val="left"/>
              <w:spacing w:after="110" w:line="330" w:lineRule="auto"/>
            </w:pPr>
            <w:r>
              <w:rPr>
                <w:sz w:val="18"/>
                <w:szCs w:val="18"/>
                <w:rFonts w:ascii="Arial" w:hAnsi="Arial" w:cs="Noto Naskh Arabic"/>
              </w:rPr>
              <w:t xml:space="preserve">0.02 (−0.61, 0.65)</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9.76 (3.12)</w:t>
            </w:r>
          </w:p>
        </w:tc>
        <w:tc>
          <w:tcPr/>
          <w:p>
            <w:pPr>
              <w:jc w:val="left"/>
              <w:spacing w:after="110" w:line="330" w:lineRule="auto"/>
            </w:pPr>
            <w:r>
              <w:rPr>
                <w:sz w:val="18"/>
                <w:szCs w:val="18"/>
                <w:rFonts w:ascii="Arial" w:hAnsi="Arial" w:cs="Noto Naskh Arabic"/>
              </w:rPr>
              <w:t xml:space="preserve">10.30 (2.07)</w:t>
            </w:r>
          </w:p>
        </w:tc>
        <w:tc>
          <w:tcPr/>
          <w:p>
            <w:pPr>
              <w:jc w:val="left"/>
              <w:spacing w:after="110" w:line="330" w:lineRule="auto"/>
            </w:pPr>
            <w:r>
              <w:rPr>
                <w:sz w:val="18"/>
                <w:szCs w:val="18"/>
                <w:rFonts w:ascii="Arial" w:hAnsi="Arial" w:cs="Noto Naskh Arabic"/>
              </w:rPr>
              <w:t xml:space="preserve">15.96 (5.39)</w:t>
            </w:r>
          </w:p>
        </w:tc>
        <w:tc>
          <w:tcPr/>
          <w:p>
            <w:pPr>
              <w:jc w:val="left"/>
              <w:spacing w:after="110" w:line="330" w:lineRule="auto"/>
            </w:pPr>
            <w:r>
              <w:rPr>
                <w:sz w:val="18"/>
                <w:szCs w:val="18"/>
                <w:rFonts w:ascii="Arial" w:hAnsi="Arial" w:cs="Noto Naskh Arabic"/>
              </w:rPr>
              <w:t xml:space="preserve">−6.20 (−8.57, −3.83)</w:t>
            </w:r>
          </w:p>
        </w:tc>
        <w:tc>
          <w:tcPr/>
          <w:p>
            <w:pPr>
              <w:jc w:val="left"/>
              <w:spacing w:after="110" w:line="330" w:lineRule="auto"/>
            </w:pPr>
            <w:r>
              <w:rPr>
                <w:sz w:val="18"/>
                <w:szCs w:val="18"/>
                <w:rFonts w:ascii="Arial" w:hAnsi="Arial" w:cs="Noto Naskh Arabic"/>
              </w:rPr>
              <w:t xml:space="preserve">−5.66 (−7.88, −3.44)</w:t>
            </w:r>
          </w:p>
        </w:tc>
        <w:tc>
          <w:tcPr/>
          <w:p>
            <w:pPr>
              <w:jc w:val="left"/>
              <w:spacing w:after="110" w:line="330" w:lineRule="auto"/>
            </w:pPr>
            <w:r>
              <w:rPr>
                <w:sz w:val="18"/>
                <w:szCs w:val="18"/>
                <w:rFonts w:ascii="Arial" w:hAnsi="Arial" w:cs="Noto Naskh Arabic"/>
              </w:rPr>
              <w:t xml:space="preserve">−0.54 (−1.97, 0.89)</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49.48 (4.84)</w:t>
            </w:r>
          </w:p>
        </w:tc>
        <w:tc>
          <w:tcPr/>
          <w:p>
            <w:pPr>
              <w:jc w:val="left"/>
              <w:spacing w:after="110" w:line="330" w:lineRule="auto"/>
            </w:pPr>
            <w:r>
              <w:rPr>
                <w:sz w:val="18"/>
                <w:szCs w:val="18"/>
                <w:rFonts w:ascii="Arial" w:hAnsi="Arial" w:cs="Noto Naskh Arabic"/>
              </w:rPr>
              <w:t xml:space="preserve">51.40 (3.01)</w:t>
            </w:r>
          </w:p>
        </w:tc>
        <w:tc>
          <w:tcPr/>
          <w:p>
            <w:pPr>
              <w:jc w:val="left"/>
              <w:spacing w:after="110" w:line="330" w:lineRule="auto"/>
            </w:pPr>
            <w:r>
              <w:rPr>
                <w:sz w:val="18"/>
                <w:szCs w:val="18"/>
                <w:rFonts w:ascii="Arial" w:hAnsi="Arial" w:cs="Noto Naskh Arabic"/>
              </w:rPr>
              <w:t xml:space="preserve">62.18 (4.13)</w:t>
            </w:r>
          </w:p>
        </w:tc>
        <w:tc>
          <w:tcPr/>
          <w:p>
            <w:pPr>
              <w:jc w:val="left"/>
              <w:spacing w:after="110" w:line="330" w:lineRule="auto"/>
            </w:pPr>
            <w:r>
              <w:rPr>
                <w:sz w:val="18"/>
                <w:szCs w:val="18"/>
                <w:rFonts w:ascii="Arial" w:hAnsi="Arial" w:cs="Noto Naskh Arabic"/>
              </w:rPr>
              <w:t xml:space="preserve">−12.70 (−15.11, −10.29)</w:t>
            </w:r>
          </w:p>
        </w:tc>
        <w:tc>
          <w:tcPr/>
          <w:p>
            <w:pPr>
              <w:jc w:val="left"/>
              <w:spacing w:after="110" w:line="330" w:lineRule="auto"/>
            </w:pPr>
            <w:r>
              <w:rPr>
                <w:sz w:val="18"/>
                <w:szCs w:val="18"/>
                <w:rFonts w:ascii="Arial" w:hAnsi="Arial" w:cs="Noto Naskh Arabic"/>
              </w:rPr>
              <w:t xml:space="preserve">−10.78 (−12.73, −8.83)</w:t>
            </w:r>
          </w:p>
        </w:tc>
        <w:tc>
          <w:tcPr/>
          <w:p>
            <w:pPr>
              <w:jc w:val="left"/>
              <w:spacing w:after="110" w:line="330" w:lineRule="auto"/>
            </w:pPr>
            <w:r>
              <w:rPr>
                <w:sz w:val="18"/>
                <w:szCs w:val="18"/>
                <w:rFonts w:ascii="Arial" w:hAnsi="Arial" w:cs="Noto Naskh Arabic"/>
              </w:rPr>
              <w:t xml:space="preserve">−1.92 (−4.10, 0.26)</w:t>
            </w:r>
          </w:p>
        </w:tc>
      </w:tr>
      <w:tr>
        <w:tc>
          <w:tcPr/>
          <w:p>
            <w:pPr>
              <w:jc w:val="left"/>
              <w:spacing w:after="110" w:line="330" w:lineRule="auto"/>
            </w:pPr>
            <w:r>
              <w:rPr>
                <w:sz w:val="18"/>
                <w:szCs w:val="18"/>
                <w:rFonts w:ascii="Arial" w:hAnsi="Arial" w:cs="Noto Naskh Arabic"/>
              </w:rPr>
              <w:t xml:space="preserve">Analgesic use</w:t>
            </w:r>
          </w:p>
        </w:tc>
        <w:tc>
          <w:tcPr/>
          <w:p>
            <w:pPr>
              <w:jc w:val="left"/>
              <w:spacing w:after="110" w:line="330" w:lineRule="auto"/>
            </w:pPr>
            <w:r>
              <w:rPr>
                <w:sz w:val="18"/>
                <w:szCs w:val="18"/>
                <w:rFonts w:ascii="Arial" w:hAnsi="Arial" w:cs="Noto Naskh Arabic"/>
              </w:rPr>
              <w:t xml:space="preserve">5.02 (2.64)</w:t>
            </w:r>
          </w:p>
        </w:tc>
        <w:tc>
          <w:tcPr/>
          <w:p>
            <w:pPr>
              <w:jc w:val="left"/>
              <w:spacing w:after="110" w:line="330" w:lineRule="auto"/>
            </w:pPr>
            <w:r>
              <w:rPr>
                <w:sz w:val="18"/>
                <w:szCs w:val="18"/>
                <w:rFonts w:ascii="Arial" w:hAnsi="Arial" w:cs="Noto Naskh Arabic"/>
              </w:rPr>
              <w:t xml:space="preserve">5.65 (2.55)</w:t>
            </w:r>
          </w:p>
        </w:tc>
        <w:tc>
          <w:tcPr/>
          <w:p>
            <w:pPr>
              <w:jc w:val="left"/>
              <w:spacing w:after="110" w:line="330" w:lineRule="auto"/>
            </w:pPr>
            <w:r>
              <w:rPr>
                <w:sz w:val="18"/>
                <w:szCs w:val="18"/>
                <w:rFonts w:ascii="Arial" w:hAnsi="Arial" w:cs="Noto Naskh Arabic"/>
              </w:rPr>
              <w:t xml:space="preserve">12.06 (4.25)</w:t>
            </w:r>
          </w:p>
        </w:tc>
        <w:tc>
          <w:tcPr/>
          <w:p>
            <w:pPr>
              <w:jc w:val="left"/>
              <w:spacing w:after="110" w:line="330" w:lineRule="auto"/>
            </w:pPr>
            <w:r>
              <w:rPr>
                <w:sz w:val="18"/>
                <w:szCs w:val="18"/>
                <w:rFonts w:ascii="Arial" w:hAnsi="Arial" w:cs="Noto Naskh Arabic"/>
              </w:rPr>
              <w:t xml:space="preserve">−7.04 (−8.94, −5.14)</w:t>
            </w:r>
          </w:p>
        </w:tc>
        <w:tc>
          <w:tcPr/>
          <w:p>
            <w:pPr>
              <w:jc w:val="left"/>
              <w:spacing w:after="110" w:line="330" w:lineRule="auto"/>
            </w:pPr>
            <w:r>
              <w:rPr>
                <w:sz w:val="18"/>
                <w:szCs w:val="18"/>
                <w:rFonts w:ascii="Arial" w:hAnsi="Arial" w:cs="Noto Naskh Arabic"/>
              </w:rPr>
              <w:t xml:space="preserve">−6.41 (−8.31, −4.51)</w:t>
            </w:r>
          </w:p>
        </w:tc>
        <w:tc>
          <w:tcPr/>
          <w:p>
            <w:pPr>
              <w:jc w:val="left"/>
              <w:spacing w:after="110" w:line="330" w:lineRule="auto"/>
            </w:pPr>
            <w:r>
              <w:rPr>
                <w:sz w:val="18"/>
                <w:szCs w:val="18"/>
                <w:rFonts w:ascii="Arial" w:hAnsi="Arial" w:cs="Noto Naskh Arabic"/>
              </w:rPr>
              <w:t xml:space="preserve">−0.63 (−2.03, 0.77)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16.77 (5.08)</w:t>
            </w:r>
          </w:p>
        </w:tc>
        <w:tc>
          <w:tcPr/>
          <w:p>
            <w:pPr>
              <w:jc w:val="left"/>
              <w:spacing w:after="110" w:line="330" w:lineRule="auto"/>
            </w:pPr>
            <w:r>
              <w:rPr>
                <w:sz w:val="18"/>
                <w:szCs w:val="18"/>
                <w:rFonts w:ascii="Arial" w:hAnsi="Arial" w:cs="Noto Naskh Arabic"/>
              </w:rPr>
              <w:t xml:space="preserve">14.87 (5.34)</w:t>
            </w:r>
          </w:p>
        </w:tc>
        <w:tc>
          <w:tcPr/>
          <w:p>
            <w:pPr>
              <w:jc w:val="left"/>
              <w:spacing w:after="110" w:line="330" w:lineRule="auto"/>
            </w:pPr>
            <w:r>
              <w:rPr>
                <w:sz w:val="18"/>
                <w:szCs w:val="18"/>
                <w:rFonts w:ascii="Arial" w:hAnsi="Arial" w:cs="Noto Naskh Arabic"/>
              </w:rPr>
              <w:t xml:space="preserve">24.16 (4.23)</w:t>
            </w:r>
          </w:p>
        </w:tc>
        <w:tc>
          <w:tcPr/>
          <w:p>
            <w:pPr>
              <w:jc w:val="left"/>
              <w:spacing w:after="110" w:line="330" w:lineRule="auto"/>
            </w:pPr>
            <w:r>
              <w:rPr>
                <w:sz w:val="18"/>
                <w:szCs w:val="18"/>
                <w:rFonts w:ascii="Arial" w:hAnsi="Arial" w:cs="Noto Naskh Arabic"/>
              </w:rPr>
              <w:t xml:space="preserve">−7.39 (−9.90, −4.88)</w:t>
            </w:r>
          </w:p>
        </w:tc>
        <w:tc>
          <w:tcPr/>
          <w:p>
            <w:pPr>
              <w:jc w:val="left"/>
              <w:spacing w:after="110" w:line="330" w:lineRule="auto"/>
            </w:pPr>
            <w:r>
              <w:rPr>
                <w:sz w:val="18"/>
                <w:szCs w:val="18"/>
                <w:rFonts w:ascii="Arial" w:hAnsi="Arial" w:cs="Noto Naskh Arabic"/>
              </w:rPr>
              <w:t xml:space="preserve">−9.29 (−11.91, −6.67)</w:t>
            </w:r>
          </w:p>
        </w:tc>
        <w:tc>
          <w:tcPr/>
          <w:p>
            <w:pPr>
              <w:jc w:val="left"/>
              <w:spacing w:after="110" w:line="330" w:lineRule="auto"/>
            </w:pPr>
            <w:r>
              <w:rPr>
                <w:sz w:val="18"/>
                <w:szCs w:val="18"/>
                <w:rFonts w:ascii="Arial" w:hAnsi="Arial" w:cs="Noto Naskh Arabic"/>
              </w:rPr>
              <w:t xml:space="preserve">1.90 (−0.92, 4.72)</w:t>
            </w:r>
          </w:p>
        </w:tc>
      </w:tr>
    </w:tbl>
    <w:p>
      <w:pPr>
        <w:jc w:val="left"/>
        <w:spacing w:after="110" w:line="330" w:lineRule="auto"/>
      </w:pPr>
      <w:r>
        <w:rPr>
          <w:sz w:val="22"/>
          <w:szCs w:val="22"/>
          <w:rFonts w:ascii="Arial" w:hAnsi="Arial" w:cs="Noto Naskh Arabic"/>
        </w:rPr>
        <w:t xml:space="preserve">These normal-theory endpoint intervals do not replace baseline-adjusted models and should not be paired with Mann–Whitney p-values as if they estimated the same parameter. Insert adjusted estimates and multiplicity-controlled results after reanalysis.</w:t>
      </w:r>
    </w:p>
    <w:p>
      <w:pPr>
        <w:jc w:val="left"/>
        <w:spacing w:after="110" w:line="330" w:lineRule="auto"/>
      </w:pPr>
      <w:r>
        <w:rPr>
          <w:sz w:val="22"/>
          <w:szCs w:val="22"/>
          <w:rFonts w:ascii="Arial" w:hAnsi="Arial" w:cs="Noto Naskh Arabic"/>
        </w:rPr>
        <w:t xml:space="preserve">Do not assign a HIT-6 category to a group mean; report individual category transitions if clinically relevant.</w:t>
      </w:r>
    </w:p>
    <w:p>
      <w:pPr>
        <w:pStyle w:val="Heading3"/>
        <w:jc w:val="left"/>
        <w:spacing w:after="110" w:line="330" w:lineRule="auto"/>
        <w:keepNext/>
      </w:pPr>
      <w:r>
        <w:rPr>
          <w:b/>
          <w:sz w:val="20"/>
          <w:szCs w:val="20"/>
          <w:rFonts w:ascii="Arial" w:hAnsi="Arial" w:cs="Noto Naskh Arabic"/>
        </w:rPr>
        <w:t xml:space="preserve">3.5 Treatment exposure and adherence</w:t>
      </w:r>
    </w:p>
    <w:p>
      <w:pPr>
        <w:jc w:val="left"/>
        <w:spacing w:after="110" w:line="330" w:lineRule="auto"/>
      </w:pPr>
      <w:r>
        <w:rPr>
          <w:sz w:val="22"/>
          <w:szCs w:val="22"/>
          <w:rFonts w:ascii="Arial" w:hAnsi="Arial" w:cs="Noto Naskh Arabic"/>
        </w:rPr>
        <w:t xml:space="preserve">Report planned and received sessions by group:</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Exposure measure</w:t>
            </w:r>
          </w:p>
        </w:tc>
        <w:tc>
          <w:tcPr>
            <w:shd w:fill="E9EFF6"/>
          </w:tcPr>
          <w:p>
            <w:pPr>
              <w:jc w:val="left"/>
              <w:spacing w:after="110" w:line="330" w:lineRule="auto"/>
            </w:pPr>
            <w:r>
              <w:rPr>
                <w:b/>
                <w:sz w:val="18"/>
                <w:szCs w:val="18"/>
                <w:rFonts w:ascii="Arial" w:hAnsi="Arial" w:cs="Noto Naskh Arabic"/>
              </w:rPr>
              <w:t xml:space="preserve">Supraorbital</w:t>
            </w:r>
          </w:p>
        </w:tc>
        <w:tc>
          <w:tcPr>
            <w:shd w:fill="E9EFF6"/>
          </w:tcPr>
          <w:p>
            <w:pPr>
              <w:jc w:val="left"/>
              <w:spacing w:after="110" w:line="330" w:lineRule="auto"/>
            </w:pPr>
            <w:r>
              <w:rPr>
                <w:b/>
                <w:sz w:val="18"/>
                <w:szCs w:val="18"/>
                <w:rFonts w:ascii="Arial" w:hAnsi="Arial" w:cs="Noto Naskh Arabic"/>
              </w:rPr>
              <w:t xml:space="preserve">Infraorbital</w:t>
            </w:r>
          </w:p>
        </w:tc>
        <w:tc>
          <w:tcPr>
            <w:shd w:fill="E9EFF6"/>
          </w:tcPr>
          <w:p>
            <w:pPr>
              <w:jc w:val="left"/>
              <w:spacing w:after="110" w:line="330" w:lineRule="auto"/>
            </w:pPr>
            <w:r>
              <w:rPr>
                <w:b/>
                <w:sz w:val="18"/>
                <w:szCs w:val="18"/>
                <w:rFonts w:ascii="Arial" w:hAnsi="Arial" w:cs="Noto Naskh Arabic"/>
              </w:rPr>
              <w:t xml:space="preserve">Sham</w:t>
            </w:r>
          </w:p>
        </w:tc>
      </w:tr>
      <w:tr>
        <w:tc>
          <w:tcPr/>
          <w:p>
            <w:pPr>
              <w:jc w:val="left"/>
              <w:spacing w:after="110" w:line="330" w:lineRule="auto"/>
            </w:pPr>
            <w:r>
              <w:rPr>
                <w:sz w:val="18"/>
                <w:szCs w:val="18"/>
                <w:rFonts w:ascii="Arial" w:hAnsi="Arial" w:cs="Noto Naskh Arabic"/>
              </w:rPr>
              <w:t xml:space="preserve">Participants receiving ≥1 session</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Sessions received, median (IQR)</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Completed all 24 sessions, n (%)</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r>
        <w:tc>
          <w:tcPr/>
          <w:p>
            <w:pPr>
              <w:jc w:val="left"/>
              <w:spacing w:after="110" w:line="330" w:lineRule="auto"/>
            </w:pPr>
            <w:r>
              <w:rPr>
                <w:sz w:val="18"/>
                <w:szCs w:val="18"/>
                <w:rFonts w:ascii="Arial" w:hAnsi="Arial" w:cs="Noto Naskh Arabic"/>
              </w:rPr>
              <w:t xml:space="preserve">Delivered current, mA, median (IQR)</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0</w:t>
            </w:r>
          </w:p>
        </w:tc>
      </w:tr>
      <w:tr>
        <w:tc>
          <w:tcPr/>
          <w:p>
            <w:pPr>
              <w:jc w:val="left"/>
              <w:spacing w:after="110" w:line="330" w:lineRule="auto"/>
            </w:pPr>
            <w:r>
              <w:rPr>
                <w:sz w:val="18"/>
                <w:szCs w:val="18"/>
                <w:rFonts w:ascii="Arial" w:hAnsi="Arial" w:cs="Noto Naskh Arabic"/>
              </w:rPr>
              <w:t xml:space="preserve">Protocol deviations, n</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c>
          <w:tcPr/>
          <w:p>
            <w:pPr>
              <w:jc w:val="left"/>
              <w:spacing w:after="110" w:line="330" w:lineRule="auto"/>
            </w:pPr>
            <w:r>
              <w:rPr>
                <w:sz w:val="18"/>
                <w:szCs w:val="18"/>
                <w:rFonts w:ascii="Arial" w:hAnsi="Arial" w:cs="Noto Naskh Arabic"/>
              </w:rPr>
              <w:t xml:space="preserve">[data]</w:t>
            </w:r>
          </w:p>
        </w:tc>
      </w:tr>
    </w:tbl>
    <w:p>
      <w:pPr>
        <w:pStyle w:val="Heading3"/>
        <w:jc w:val="left"/>
        <w:spacing w:after="110" w:line="330" w:lineRule="auto"/>
        <w:keepNext/>
      </w:pPr>
      <w:r>
        <w:rPr>
          <w:b/>
          <w:sz w:val="20"/>
          <w:szCs w:val="20"/>
          <w:rFonts w:ascii="Arial" w:hAnsi="Arial" w:cs="Noto Naskh Arabic"/>
        </w:rPr>
        <w:t xml:space="preserve">3.6 Masking</w:t>
      </w:r>
    </w:p>
    <w:p>
      <w:pPr>
        <w:jc w:val="left"/>
        <w:spacing w:after="110" w:line="330" w:lineRule="auto"/>
      </w:pPr>
      <w:r>
        <w:rPr>
          <w:sz w:val="22"/>
          <w:szCs w:val="22"/>
          <w:rFonts w:ascii="Arial" w:hAnsi="Arial" w:cs="Noto Naskh Arabic"/>
        </w:rPr>
        <w:t xml:space="preserve">Replace the summary percentages with the complete assigned-group by guessed-group table and a valid blinding index. State:</w:t>
      </w:r>
    </w:p>
    <w:p>
      <w:pPr>
        <w:bidi/>
        <w:jc w:val="right"/>
        <w:spacing w:after="110" w:line="330" w:lineRule="auto"/>
      </w:pPr>
      <w:r>
        <w:rPr>
          <w:sz w:val="21"/>
          <w:szCs w:val="21"/>
          <w:rFonts w:ascii="Arial" w:hAnsi="Arial" w:cs="Noto Naskh Arabic"/>
        </w:rPr>
        <w:t xml:space="preserve">نکته: Because sham delivered no current and active treatment commonly produced paresthesia, participant masking was not considered established.</w:t>
      </w:r>
    </w:p>
    <w:p>
      <w:pPr>
        <w:pStyle w:val="Heading3"/>
        <w:jc w:val="left"/>
        <w:spacing w:after="110" w:line="330" w:lineRule="auto"/>
        <w:keepNext/>
      </w:pPr>
      <w:r>
        <w:rPr>
          <w:b/>
          <w:sz w:val="20"/>
          <w:szCs w:val="20"/>
          <w:rFonts w:ascii="Arial" w:hAnsi="Arial" w:cs="Noto Naskh Arabic"/>
        </w:rPr>
        <w:t xml:space="preserve">3.7 Adverse events</w:t>
      </w:r>
    </w:p>
    <w:p>
      <w:pPr>
        <w:jc w:val="left"/>
        <w:spacing w:after="110" w:line="330" w:lineRule="auto"/>
      </w:pPr>
      <w:r>
        <w:rPr>
          <w:sz w:val="22"/>
          <w:szCs w:val="22"/>
          <w:rFonts w:ascii="Arial" w:hAnsi="Arial" w:cs="Noto Naskh Arabic"/>
        </w:rPr>
        <w:t xml:space="preserve">The supplied report identified itching in 9/28 participants in the supraorbital group and 8/27 in the infraorbital group, and tingling/paresthesia in 12/28 and 11/27, respectively. Verify whether participants could report more than one event and provide sham-arm local-event counts.</w:t>
      </w:r>
    </w:p>
    <w:p>
      <w:pPr>
        <w:jc w:val="left"/>
        <w:spacing w:after="110" w:line="330" w:lineRule="auto"/>
      </w:pPr>
      <w:r>
        <w:rPr>
          <w:sz w:val="22"/>
          <w:szCs w:val="22"/>
          <w:rFonts w:ascii="Arial" w:hAnsi="Arial" w:cs="Noto Naskh Arabic"/>
        </w:rPr>
        <w:t xml:space="preserve">No serious adverse event was detected. This observation does not establish safety; the approximate rule-of-three upper 95% bound for an unobserved serious-event proportion is 3.6% across 83 participants and approximately 11% in each active arm.</w:t>
      </w:r>
    </w:p>
    <w:p>
      <w:pPr>
        <w:jc w:val="left"/>
        <w:spacing w:after="110" w:line="330" w:lineRule="auto"/>
      </w:pPr>
      <w:r>
        <w:rPr>
          <w:sz w:val="22"/>
          <w:szCs w:val="22"/>
          <w:rFonts w:ascii="Arial" w:hAnsi="Arial" w:cs="Noto Naskh Arabic"/>
        </w:rPr>
        <w:t xml:space="preserve">Report all events in a CONSORT harms table with severity, duration, relatedness, and withdrawals.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4. Discussion</w:t>
      </w:r>
    </w:p>
    <w:p>
      <w:pPr>
        <w:pStyle w:val="Heading3"/>
        <w:jc w:val="left"/>
        <w:spacing w:after="110" w:line="330" w:lineRule="auto"/>
        <w:keepNext/>
      </w:pPr>
      <w:r>
        <w:rPr>
          <w:b/>
          <w:sz w:val="20"/>
          <w:szCs w:val="20"/>
          <w:rFonts w:ascii="Arial" w:hAnsi="Arial" w:cs="Noto Naskh Arabic"/>
        </w:rPr>
        <w:t xml:space="preserve">4.1 Principal findings</w:t>
      </w:r>
    </w:p>
    <w:p>
      <w:pPr>
        <w:jc w:val="left"/>
        <w:spacing w:after="110" w:line="330" w:lineRule="auto"/>
      </w:pPr>
      <w:r>
        <w:rPr>
          <w:sz w:val="22"/>
          <w:szCs w:val="22"/>
          <w:rFonts w:ascii="Arial" w:hAnsi="Arial" w:cs="Noto Naskh Arabic"/>
        </w:rPr>
        <w:t xml:space="preserve">The aggregate data showed lower reported migraine attack frequency at three months in both active-stimulation groups than in the inert sham group. Similar descriptive patterns occurred for pain intensity, disability, headache impact, and medication-related measures. These findings represent a preliminary signal rather than confirmatory evidence because the primary analysis requires baseline-adjusted participant-level reanalysis and successful participant masking was not established.</w:t>
      </w:r>
    </w:p>
    <w:p>
      <w:pPr>
        <w:jc w:val="left"/>
        <w:spacing w:after="110" w:line="330" w:lineRule="auto"/>
      </w:pPr>
      <w:r>
        <w:rPr>
          <w:sz w:val="22"/>
          <w:szCs w:val="22"/>
          <w:rFonts w:ascii="Arial" w:hAnsi="Arial" w:cs="Noto Naskh Arabic"/>
        </w:rPr>
        <w:t xml:space="preserve">The active-site contrast was imprecise and the study was not designed for equivalence or non-inferiority. Therefore, the absence of a statistically significant difference must not be interpreted as equivalence, interchangeability, or evidence that site selection can be based solely on preference.</w:t>
      </w:r>
    </w:p>
    <w:p>
      <w:pPr>
        <w:pStyle w:val="Heading3"/>
        <w:jc w:val="left"/>
        <w:spacing w:after="110" w:line="330" w:lineRule="auto"/>
        <w:keepNext/>
      </w:pPr>
      <w:r>
        <w:rPr>
          <w:b/>
          <w:sz w:val="20"/>
          <w:szCs w:val="20"/>
          <w:rFonts w:ascii="Arial" w:hAnsi="Arial" w:cs="Noto Naskh Arabic"/>
        </w:rPr>
        <w:t xml:space="preserve">4.2 Relation to previous evidence</w:t>
      </w:r>
    </w:p>
    <w:p>
      <w:pPr>
        <w:jc w:val="left"/>
        <w:spacing w:after="110" w:line="330" w:lineRule="auto"/>
      </w:pPr>
      <w:r>
        <w:rPr>
          <w:sz w:val="22"/>
          <w:szCs w:val="22"/>
          <w:rFonts w:ascii="Arial" w:hAnsi="Arial" w:cs="Noto Naskh Arabic"/>
        </w:rPr>
        <w:t xml:space="preserve">One small sham-controlled trial and subsequent evidence syntheses support a possible preventive effect of device-specific external trigeminal stimulation protocols [15,26,44,46,55]. However, pooled estimates are based on few heterogeneous studies, and one later synthesis found no significant benefit for several eTNS monotherapy outcomes [30]. Current IHS guidance makes only conditional recommendations for named devices and does not endorse generic or infraorbital TENS [47]. These results cannot be transferred directly to the Novin device and protocol used here because waveform, electrode configuration, delivered dose, target, and treatment schedule differ.</w:t>
      </w:r>
    </w:p>
    <w:p>
      <w:pPr>
        <w:jc w:val="left"/>
        <w:spacing w:after="110" w:line="330" w:lineRule="auto"/>
      </w:pPr>
      <w:r>
        <w:rPr>
          <w:sz w:val="22"/>
          <w:szCs w:val="22"/>
          <w:rFonts w:ascii="Arial" w:hAnsi="Arial" w:cs="Noto Naskh Arabic"/>
        </w:rPr>
        <w:t xml:space="preserve">A 2026 open-label active-controlled trial directly compared supraorbital tSNS with low-dose topiramate [56]. The tSNS arm had fewer adverse events but a lower responder rate (20.6% vs 33.9%) and did not meet the prespecified non-inferiority criterion. This result provides contemporary comparative context but does not validate the present protocol because the device, comparator, masking, and stimulation schedule differed.</w:t>
      </w:r>
    </w:p>
    <w:p>
      <w:pPr>
        <w:jc w:val="left"/>
        <w:spacing w:after="110" w:line="330" w:lineRule="auto"/>
      </w:pPr>
      <w:r>
        <w:rPr>
          <w:sz w:val="22"/>
          <w:szCs w:val="22"/>
          <w:rFonts w:ascii="Arial" w:hAnsi="Arial" w:cs="Noto Naskh Arabic"/>
        </w:rPr>
        <w:t xml:space="preserve">Direct evidence supporting surface infraorbital TENS for migraine is lacking. The combined nerve-block study [23] is indirect, and a contemporary peripheral-nerve-stimulation review likewise identifies stronger evidence for supraorbital and occipital targets than for infraorbital stimulation in migraine [54]. Reference 24 concerns implanted occipital plus supraorbital—not infraorbital—stimulation. The current findings may justify a rigorously masked, site-matched trial rather than establish clinical effectiveness.</w:t>
      </w:r>
    </w:p>
    <w:p>
      <w:pPr>
        <w:jc w:val="left"/>
        <w:spacing w:after="110" w:line="330" w:lineRule="auto"/>
      </w:pPr>
      <w:r>
        <w:rPr>
          <w:sz w:val="22"/>
          <w:szCs w:val="22"/>
          <w:rFonts w:ascii="Arial" w:hAnsi="Arial" w:cs="Noto Naskh Arabic"/>
        </w:rPr>
        <w:t xml:space="preserve">Avoid comparing this study’s percentage change in mean pain score with another study’s ≥50% responder proportion because these are different estimands.</w:t>
      </w:r>
    </w:p>
    <w:p>
      <w:pPr>
        <w:pStyle w:val="Heading3"/>
        <w:jc w:val="left"/>
        <w:spacing w:after="110" w:line="330" w:lineRule="auto"/>
        <w:keepNext/>
      </w:pPr>
      <w:r>
        <w:rPr>
          <w:b/>
          <w:sz w:val="20"/>
          <w:szCs w:val="20"/>
          <w:rFonts w:ascii="Arial" w:hAnsi="Arial" w:cs="Noto Naskh Arabic"/>
        </w:rPr>
        <w:t xml:space="preserve">4.3 Clinical interpretation</w:t>
      </w:r>
    </w:p>
    <w:p>
      <w:pPr>
        <w:jc w:val="left"/>
        <w:spacing w:after="110" w:line="330" w:lineRule="auto"/>
      </w:pPr>
      <w:r>
        <w:rPr>
          <w:sz w:val="22"/>
          <w:szCs w:val="22"/>
          <w:rFonts w:ascii="Arial" w:hAnsi="Arial" w:cs="Noto Naskh Arabic"/>
        </w:rPr>
        <w:t xml:space="preserve">The intervention required 24 supervised clinic sessions in four weeks, and 54 of 137 screened individuals did not proceed because they could not commit to that schedule. Feasibility and effectiveness in routine care may therefore differ from efficacy among the selected participants. Treatment burden, cost, travel, durability, and comparison with established preventive options require evaluation.</w:t>
      </w:r>
    </w:p>
    <w:p>
      <w:pPr>
        <w:jc w:val="left"/>
        <w:spacing w:after="110" w:line="330" w:lineRule="auto"/>
      </w:pPr>
      <w:r>
        <w:rPr>
          <w:sz w:val="22"/>
          <w:szCs w:val="22"/>
          <w:rFonts w:ascii="Arial" w:hAnsi="Arial" w:cs="Noto Naskh Arabic"/>
        </w:rPr>
        <w:t xml:space="preserve">The inert sham did not reproduce sensory stimulation. Because efficacy outcomes were participant-reported, expectancy and performance effects may account for part of the observed active–sham differences. The present data do not support an acute-treatment claim.</w:t>
      </w:r>
    </w:p>
    <w:p>
      <w:pPr>
        <w:pStyle w:val="Heading3"/>
        <w:jc w:val="left"/>
        <w:spacing w:after="110" w:line="330" w:lineRule="auto"/>
        <w:keepNext/>
      </w:pPr>
      <w:r>
        <w:rPr>
          <w:b/>
          <w:sz w:val="20"/>
          <w:szCs w:val="20"/>
          <w:rFonts w:ascii="Arial" w:hAnsi="Arial" w:cs="Noto Naskh Arabic"/>
        </w:rPr>
        <w:t xml:space="preserve">4.4 Strengths and limitations</w:t>
      </w:r>
    </w:p>
    <w:p>
      <w:pPr>
        <w:jc w:val="left"/>
        <w:spacing w:after="110" w:line="330" w:lineRule="auto"/>
      </w:pPr>
      <w:r>
        <w:rPr>
          <w:sz w:val="22"/>
          <w:szCs w:val="22"/>
          <w:rFonts w:ascii="Arial" w:hAnsi="Arial" w:cs="Noto Naskh Arabic"/>
        </w:rPr>
        <w:t xml:space="preserve">Strengths include a three-arm controlled design, assessment of two trigeminal sites, multidimensional outcomes, and reported complete follow-up after allocation.</w:t>
      </w:r>
    </w:p>
    <w:p>
      <w:pPr>
        <w:jc w:val="left"/>
        <w:spacing w:after="110" w:line="330" w:lineRule="auto"/>
      </w:pPr>
      <w:r>
        <w:rPr>
          <w:sz w:val="22"/>
          <w:szCs w:val="22"/>
          <w:rFonts w:ascii="Arial" w:hAnsi="Arial" w:cs="Noto Naskh Arabic"/>
        </w:rPr>
        <w:t xml:space="preserve">The study has substantial limitations:</w:t>
      </w:r>
    </w:p>
    <w:p>
      <w:pPr>
        <w:jc w:val="left"/>
        <w:spacing w:after="110" w:line="330" w:lineRule="auto"/>
      </w:pPr>
      <w:r>
        <w:rPr>
          <w:sz w:val="22"/>
          <w:szCs w:val="22"/>
          <w:rFonts w:ascii="Arial" w:hAnsi="Arial" w:cs="Noto Naskh Arabic"/>
        </w:rPr>
        <w:t xml:space="preserve">1. Ethics approval and prospective registration are not verifiable until identifiers, dates, and records are supplied.</w:t>
      </w:r>
    </w:p>
    <w:p>
      <w:pPr>
        <w:jc w:val="left"/>
        <w:spacing w:after="110" w:line="330" w:lineRule="auto"/>
      </w:pPr>
      <w:r>
        <w:rPr>
          <w:sz w:val="22"/>
          <w:szCs w:val="22"/>
          <w:rFonts w:ascii="Arial" w:hAnsi="Arial" w:cs="Noto Naskh Arabic"/>
        </w:rPr>
        <w:t xml:space="preserve">2. The reported fixed block size of four is incompatible with a balanced 1:1:1 permuted-block design and requires source verification.</w:t>
      </w:r>
    </w:p>
    <w:p>
      <w:pPr>
        <w:jc w:val="left"/>
        <w:spacing w:after="110" w:line="330" w:lineRule="auto"/>
      </w:pPr>
      <w:r>
        <w:rPr>
          <w:sz w:val="22"/>
          <w:szCs w:val="22"/>
          <w:rFonts w:ascii="Arial" w:hAnsi="Arial" w:cs="Noto Naskh Arabic"/>
        </w:rPr>
        <w:t xml:space="preserve">3. The original sample-size basis and any post-initiation changes to the primary outcome or analysis are unclear.</w:t>
      </w:r>
    </w:p>
    <w:p>
      <w:pPr>
        <w:jc w:val="left"/>
        <w:spacing w:after="110" w:line="330" w:lineRule="auto"/>
      </w:pPr>
      <w:r>
        <w:rPr>
          <w:sz w:val="22"/>
          <w:szCs w:val="22"/>
          <w:rFonts w:ascii="Arial" w:hAnsi="Arial" w:cs="Noto Naskh Arabic"/>
        </w:rPr>
        <w:t xml:space="preserve">4. The primary analysis did not adjust for baseline and relied heavily on separate within-group tests.</w:t>
      </w:r>
    </w:p>
    <w:p>
      <w:pPr>
        <w:jc w:val="left"/>
        <w:spacing w:after="110" w:line="330" w:lineRule="auto"/>
      </w:pPr>
      <w:r>
        <w:rPr>
          <w:sz w:val="22"/>
          <w:szCs w:val="22"/>
          <w:rFonts w:ascii="Arial" w:hAnsi="Arial" w:cs="Noto Naskh Arabic"/>
        </w:rPr>
        <w:t xml:space="preserve">5. The inert sham probably compromised sensory masking, and all efficacy outcomes were participant-reported.</w:t>
      </w:r>
    </w:p>
    <w:p>
      <w:pPr>
        <w:jc w:val="left"/>
        <w:spacing w:after="110" w:line="330" w:lineRule="auto"/>
      </w:pPr>
      <w:r>
        <w:rPr>
          <w:sz w:val="22"/>
          <w:szCs w:val="22"/>
          <w:rFonts w:ascii="Arial" w:hAnsi="Arial" w:cs="Noto Naskh Arabic"/>
        </w:rPr>
        <w:t xml:space="preserve">6. Sham placement matched only the supraorbital site.</w:t>
      </w:r>
    </w:p>
    <w:p>
      <w:pPr>
        <w:jc w:val="left"/>
        <w:spacing w:after="110" w:line="330" w:lineRule="auto"/>
      </w:pPr>
      <w:r>
        <w:rPr>
          <w:sz w:val="22"/>
          <w:szCs w:val="22"/>
          <w:rFonts w:ascii="Arial" w:hAnsi="Arial" w:cs="Noto Naskh Arabic"/>
        </w:rPr>
        <w:t xml:space="preserve">7. The study was not powered for equivalence or non-inferiority between active sites.</w:t>
      </w:r>
    </w:p>
    <w:p>
      <w:pPr>
        <w:jc w:val="left"/>
        <w:spacing w:after="110" w:line="330" w:lineRule="auto"/>
      </w:pPr>
      <w:r>
        <w:rPr>
          <w:sz w:val="22"/>
          <w:szCs w:val="22"/>
          <w:rFonts w:ascii="Arial" w:hAnsi="Arial" w:cs="Noto Naskh Arabic"/>
        </w:rPr>
        <w:t xml:space="preserve">8. Exclusion of 54 screened individuals based on ability to attend restricts applicability.</w:t>
      </w:r>
    </w:p>
    <w:p>
      <w:pPr>
        <w:jc w:val="left"/>
        <w:spacing w:after="110" w:line="330" w:lineRule="auto"/>
      </w:pPr>
      <w:r>
        <w:rPr>
          <w:sz w:val="22"/>
          <w:szCs w:val="22"/>
          <w:rFonts w:ascii="Arial" w:hAnsi="Arial" w:cs="Noto Naskh Arabic"/>
        </w:rPr>
        <w:t xml:space="preserve">9. Attack definition, diary windows, and derivation of non-integer monthly frequencies require clarification.</w:t>
      </w:r>
    </w:p>
    <w:p>
      <w:pPr>
        <w:jc w:val="left"/>
        <w:spacing w:after="110" w:line="330" w:lineRule="auto"/>
      </w:pPr>
      <w:r>
        <w:rPr>
          <w:sz w:val="22"/>
          <w:szCs w:val="22"/>
          <w:rFonts w:ascii="Arial" w:hAnsi="Arial" w:cs="Noto Naskh Arabic"/>
        </w:rPr>
        <w:t xml:space="preserve">10. MIDAS at one month overlaps the pretreatment recall period; VAS/NRS and MPQ-5 measurement properties were incompletely specified.</w:t>
      </w:r>
    </w:p>
    <w:p>
      <w:pPr>
        <w:jc w:val="left"/>
        <w:spacing w:after="110" w:line="330" w:lineRule="auto"/>
      </w:pPr>
      <w:r>
        <w:rPr>
          <w:sz w:val="22"/>
          <w:szCs w:val="22"/>
          <w:rFonts w:ascii="Arial" w:hAnsi="Arial" w:cs="Noto Naskh Arabic"/>
        </w:rPr>
        <w:t xml:space="preserve">11. Clinical baseline characteristics and concomitant-treatment data were insufficient.</w:t>
      </w:r>
    </w:p>
    <w:p>
      <w:pPr>
        <w:jc w:val="left"/>
        <w:spacing w:after="110" w:line="330" w:lineRule="auto"/>
      </w:pPr>
      <w:r>
        <w:rPr>
          <w:sz w:val="22"/>
          <w:szCs w:val="22"/>
          <w:rFonts w:ascii="Arial" w:hAnsi="Arial" w:cs="Noto Naskh Arabic"/>
        </w:rPr>
        <w:t xml:space="preserve">12. Open-ended adverse-event ascertainment may have underdetected harms.</w:t>
      </w:r>
    </w:p>
    <w:p>
      <w:pPr>
        <w:jc w:val="left"/>
        <w:spacing w:after="110" w:line="330" w:lineRule="auto"/>
      </w:pPr>
      <w:r>
        <w:rPr>
          <w:sz w:val="22"/>
          <w:szCs w:val="22"/>
          <w:rFonts w:ascii="Arial" w:hAnsi="Arial" w:cs="Noto Naskh Arabic"/>
        </w:rPr>
        <w:t xml:space="preserve">13. The single-center sample was small and predominantly female, with only three months of follow-up.</w:t>
      </w:r>
    </w:p>
    <w:p>
      <w:pPr>
        <w:jc w:val="left"/>
        <w:spacing w:after="110" w:line="330" w:lineRule="auto"/>
      </w:pPr>
      <w:r>
        <w:rPr>
          <w:sz w:val="22"/>
          <w:szCs w:val="22"/>
          <w:rFonts w:ascii="Arial" w:hAnsi="Arial" w:cs="Noto Naskh Arabic"/>
        </w:rPr>
        <w:t xml:space="preserve">The previously reported analysis assigning nonrandomized individuals to sham was invalid and has been removed.</w:t>
      </w:r>
    </w:p>
    <w:p>
      <w:pPr>
        <w:pStyle w:val="Heading3"/>
        <w:jc w:val="left"/>
        <w:spacing w:after="110" w:line="330" w:lineRule="auto"/>
        <w:keepNext/>
      </w:pPr>
      <w:r>
        <w:rPr>
          <w:b/>
          <w:sz w:val="20"/>
          <w:szCs w:val="20"/>
          <w:rFonts w:ascii="Arial" w:hAnsi="Arial" w:cs="Noto Naskh Arabic"/>
        </w:rPr>
        <w:t xml:space="preserve">4.5 Future research</w:t>
      </w:r>
    </w:p>
    <w:p>
      <w:pPr>
        <w:jc w:val="left"/>
        <w:spacing w:after="110" w:line="330" w:lineRule="auto"/>
      </w:pPr>
      <w:r>
        <w:rPr>
          <w:sz w:val="22"/>
          <w:szCs w:val="22"/>
          <w:rFonts w:ascii="Arial" w:hAnsi="Arial" w:cs="Noto Naskh Arabic"/>
        </w:rPr>
        <w:t xml:space="preserve">A definitive study should follow the IHS guideline for neuromodulation-device trials [45] and use a verifiable, prospectively registered protocol and SAP; concealed allocation with suitable variable block sizes; an active sensory sham matched separately to each electrode site; blinded outcome assessment; standard 28-day migraine-day outcomes [52]; validated patient-reported measures; class-specific medication rules; adequate power for the intended contrasts; systematic harms capture [49]; and longer follow-up. A factorial or double-dummy design could separate stimulation-site effects from sham-site and sensory-expectation effects.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5. Conclusions</w:t>
      </w:r>
    </w:p>
    <w:p>
      <w:pPr>
        <w:jc w:val="left"/>
        <w:spacing w:after="110" w:line="330" w:lineRule="auto"/>
      </w:pPr>
      <w:r>
        <w:rPr>
          <w:sz w:val="22"/>
          <w:szCs w:val="22"/>
          <w:rFonts w:ascii="Arial" w:hAnsi="Arial" w:cs="Noto Naskh Arabic"/>
        </w:rPr>
        <w:t xml:space="preserve">Among a selected group able to attend 24 clinic sessions, the reported aggregate data showed fewer self-reported migraine attacks at three months with supraorbital and infraorbital TENS than with an inert sham. These findings are hypothesis-generating. Unverified allocation and registration details, likely compromised participant masking, a site-mismatched sham, outcome and analysis limitations, and inadequate power for the active-site comparison preclude firm conclusions about efficacy, safety, or equivalence. Source-document verification and prespecified participant-level reanalysis are necessary before the findings can support clinical recommendations.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Declarations</w:t>
      </w:r>
    </w:p>
    <w:p>
      <w:pPr>
        <w:pStyle w:val="Heading3"/>
        <w:jc w:val="left"/>
        <w:spacing w:after="110" w:line="330" w:lineRule="auto"/>
        <w:keepNext/>
      </w:pPr>
      <w:r>
        <w:rPr>
          <w:b/>
          <w:sz w:val="20"/>
          <w:szCs w:val="20"/>
          <w:rFonts w:ascii="Arial" w:hAnsi="Arial" w:cs="Noto Naskh Arabic"/>
        </w:rPr>
        <w:t xml:space="preserve">Ethics approval and consent</w:t>
      </w:r>
    </w:p>
    <w:p>
      <w:pPr>
        <w:jc w:val="left"/>
        <w:spacing w:after="110" w:line="330" w:lineRule="auto"/>
      </w:pPr>
      <w:r>
        <w:rPr>
          <w:sz w:val="22"/>
          <w:szCs w:val="22"/>
          <w:rFonts w:ascii="Arial" w:hAnsi="Arial" w:cs="Noto Naskh Arabic"/>
        </w:rPr>
        <w:t xml:space="preserve">[Full committee], approval [identifier], approved [date]. Written informed consent was obtained from all participants.</w:t>
      </w:r>
    </w:p>
    <w:p>
      <w:pPr>
        <w:pStyle w:val="Heading3"/>
        <w:jc w:val="left"/>
        <w:spacing w:after="110" w:line="330" w:lineRule="auto"/>
        <w:keepNext/>
      </w:pPr>
      <w:r>
        <w:rPr>
          <w:b/>
          <w:sz w:val="20"/>
          <w:szCs w:val="20"/>
          <w:rFonts w:ascii="Arial" w:hAnsi="Arial" w:cs="Noto Naskh Arabic"/>
        </w:rPr>
        <w:t xml:space="preserve">Trial registration</w:t>
      </w:r>
    </w:p>
    <w:p>
      <w:pPr>
        <w:jc w:val="left"/>
        <w:spacing w:after="110" w:line="330" w:lineRule="auto"/>
      </w:pPr>
      <w:r>
        <w:rPr>
          <w:sz w:val="22"/>
          <w:szCs w:val="22"/>
          <w:rFonts w:ascii="Arial" w:hAnsi="Arial" w:cs="Noto Naskh Arabic"/>
        </w:rPr>
        <w:t xml:space="preserve">IRCT [identifier], registered [date], [URL]. First enrollment: [date].</w:t>
      </w:r>
    </w:p>
    <w:p>
      <w:pPr>
        <w:pStyle w:val="Heading3"/>
        <w:jc w:val="left"/>
        <w:spacing w:after="110" w:line="330" w:lineRule="auto"/>
        <w:keepNext/>
      </w:pPr>
      <w:r>
        <w:rPr>
          <w:b/>
          <w:sz w:val="20"/>
          <w:szCs w:val="20"/>
          <w:rFonts w:ascii="Arial" w:hAnsi="Arial" w:cs="Noto Naskh Arabic"/>
        </w:rPr>
        <w:t xml:space="preserve">Protocol and statistical analysis plan</w:t>
      </w:r>
    </w:p>
    <w:p>
      <w:pPr>
        <w:jc w:val="left"/>
        <w:spacing w:after="110" w:line="330" w:lineRule="auto"/>
      </w:pPr>
      <w:r>
        <w:rPr>
          <w:sz w:val="22"/>
          <w:szCs w:val="22"/>
          <w:rFonts w:ascii="Arial" w:hAnsi="Arial" w:cs="Noto Naskh Arabic"/>
        </w:rPr>
        <w:t xml:space="preserve">Available at [persistent URL]. Deviations are listed in Supplementary Table S1.</w:t>
      </w:r>
    </w:p>
    <w:p>
      <w:pPr>
        <w:pStyle w:val="Heading3"/>
        <w:jc w:val="left"/>
        <w:spacing w:after="110" w:line="330" w:lineRule="auto"/>
        <w:keepNext/>
      </w:pPr>
      <w:r>
        <w:rPr>
          <w:b/>
          <w:sz w:val="20"/>
          <w:szCs w:val="20"/>
          <w:rFonts w:ascii="Arial" w:hAnsi="Arial" w:cs="Noto Naskh Arabic"/>
        </w:rPr>
        <w:t xml:space="preserve">Funding</w:t>
      </w:r>
    </w:p>
    <w:p>
      <w:pPr>
        <w:jc w:val="left"/>
        <w:spacing w:after="110" w:line="330" w:lineRule="auto"/>
      </w:pPr>
      <w:r>
        <w:rPr>
          <w:sz w:val="22"/>
          <w:szCs w:val="22"/>
          <w:rFonts w:ascii="Arial" w:hAnsi="Arial" w:cs="Noto Naskh Arabic"/>
        </w:rPr>
        <w:t xml:space="preserve">This research received [verify] no specific grant from any funding agency in the public, commercial, or not-for-profit sectors.</w:t>
      </w:r>
    </w:p>
    <w:p>
      <w:pPr>
        <w:pStyle w:val="Heading3"/>
        <w:jc w:val="left"/>
        <w:spacing w:after="110" w:line="330" w:lineRule="auto"/>
        <w:keepNext/>
      </w:pPr>
      <w:r>
        <w:rPr>
          <w:b/>
          <w:sz w:val="20"/>
          <w:szCs w:val="20"/>
          <w:rFonts w:ascii="Arial" w:hAnsi="Arial" w:cs="Noto Naskh Arabic"/>
        </w:rPr>
        <w:t xml:space="preserve">Competing interests</w:t>
      </w:r>
    </w:p>
    <w:p>
      <w:pPr>
        <w:jc w:val="left"/>
        <w:spacing w:after="110" w:line="330" w:lineRule="auto"/>
      </w:pPr>
      <w:r>
        <w:rPr>
          <w:sz w:val="22"/>
          <w:szCs w:val="22"/>
          <w:rFonts w:ascii="Arial" w:hAnsi="Arial" w:cs="Noto Naskh Arabic"/>
        </w:rPr>
        <w:t xml:space="preserve">The authors declare [insert verified declaration].</w:t>
      </w:r>
    </w:p>
    <w:p>
      <w:pPr>
        <w:pStyle w:val="Heading3"/>
        <w:jc w:val="left"/>
        <w:spacing w:after="110" w:line="330" w:lineRule="auto"/>
        <w:keepNext/>
      </w:pPr>
      <w:r>
        <w:rPr>
          <w:b/>
          <w:sz w:val="20"/>
          <w:szCs w:val="20"/>
          <w:rFonts w:ascii="Arial" w:hAnsi="Arial" w:cs="Noto Naskh Arabic"/>
        </w:rPr>
        <w:t xml:space="preserve">Data and code availability</w:t>
      </w:r>
    </w:p>
    <w:p>
      <w:pPr>
        <w:jc w:val="left"/>
        <w:spacing w:after="110" w:line="330" w:lineRule="auto"/>
      </w:pPr>
      <w:r>
        <w:rPr>
          <w:sz w:val="22"/>
          <w:szCs w:val="22"/>
          <w:rFonts w:ascii="Arial" w:hAnsi="Arial" w:cs="Noto Naskh Arabic"/>
        </w:rPr>
        <w:t xml:space="preserve">De-identified participant-level data, the data dictionary, and executable analysis code will be available at [repository] subject to [specific ethical/privacy restrictions]. “Available on reasonable request” should be retained only if repository sharing is not ethically possible and the access process is defined.</w:t>
      </w:r>
    </w:p>
    <w:p>
      <w:pPr>
        <w:pStyle w:val="Heading3"/>
        <w:jc w:val="left"/>
        <w:spacing w:after="110" w:line="330" w:lineRule="auto"/>
        <w:keepNext/>
      </w:pPr>
      <w:r>
        <w:rPr>
          <w:b/>
          <w:sz w:val="20"/>
          <w:szCs w:val="20"/>
          <w:rFonts w:ascii="Arial" w:hAnsi="Arial" w:cs="Noto Naskh Arabic"/>
        </w:rPr>
        <w:t xml:space="preserve">Author contributions</w:t>
      </w:r>
    </w:p>
    <w:p>
      <w:pPr>
        <w:jc w:val="left"/>
        <w:spacing w:after="110" w:line="330" w:lineRule="auto"/>
      </w:pPr>
      <w:r>
        <w:rPr>
          <w:sz w:val="22"/>
          <w:szCs w:val="22"/>
          <w:rFonts w:ascii="Arial" w:hAnsi="Arial" w:cs="Noto Naskh Arabic"/>
        </w:rPr>
        <w:t xml:space="preserve">Insert complete CRediT roles for each named author. Remove the placeholder statement.</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Required supplementary material</w:t>
      </w:r>
    </w:p>
    <w:p>
      <w:pPr>
        <w:jc w:val="left"/>
        <w:spacing w:after="110" w:line="330" w:lineRule="auto"/>
      </w:pPr>
      <w:r>
        <w:rPr>
          <w:sz w:val="22"/>
          <w:szCs w:val="22"/>
          <w:rFonts w:ascii="Arial" w:hAnsi="Arial" w:cs="Noto Naskh Arabic"/>
        </w:rPr>
        <w:t xml:space="preserve">1. CONSORT 2025 checklist.</w:t>
      </w:r>
    </w:p>
    <w:p>
      <w:pPr>
        <w:jc w:val="left"/>
        <w:spacing w:after="110" w:line="330" w:lineRule="auto"/>
      </w:pPr>
      <w:r>
        <w:rPr>
          <w:sz w:val="22"/>
          <w:szCs w:val="22"/>
          <w:rFonts w:ascii="Arial" w:hAnsi="Arial" w:cs="Noto Naskh Arabic"/>
        </w:rPr>
        <w:t xml:space="preserve">2. CONSORT non-pharmacological-treatment checklist.</w:t>
      </w:r>
    </w:p>
    <w:p>
      <w:pPr>
        <w:jc w:val="left"/>
        <w:spacing w:after="110" w:line="330" w:lineRule="auto"/>
      </w:pPr>
      <w:r>
        <w:rPr>
          <w:sz w:val="22"/>
          <w:szCs w:val="22"/>
          <w:rFonts w:ascii="Arial" w:hAnsi="Arial" w:cs="Noto Naskh Arabic"/>
        </w:rPr>
        <w:t xml:space="preserve">3. TIDieR checklist.</w:t>
      </w:r>
    </w:p>
    <w:p>
      <w:pPr>
        <w:jc w:val="left"/>
        <w:spacing w:after="110" w:line="330" w:lineRule="auto"/>
      </w:pPr>
      <w:r>
        <w:rPr>
          <w:sz w:val="22"/>
          <w:szCs w:val="22"/>
          <w:rFonts w:ascii="Arial" w:hAnsi="Arial" w:cs="Noto Naskh Arabic"/>
        </w:rPr>
        <w:t xml:space="preserve">4. Dated protocol and all amendments.</w:t>
      </w:r>
    </w:p>
    <w:p>
      <w:pPr>
        <w:jc w:val="left"/>
        <w:spacing w:after="110" w:line="330" w:lineRule="auto"/>
      </w:pPr>
      <w:r>
        <w:rPr>
          <w:sz w:val="22"/>
          <w:szCs w:val="22"/>
          <w:rFonts w:ascii="Arial" w:hAnsi="Arial" w:cs="Noto Naskh Arabic"/>
        </w:rPr>
        <w:t xml:space="preserve">5. Dated statistical analysis plan.</w:t>
      </w:r>
    </w:p>
    <w:p>
      <w:pPr>
        <w:jc w:val="left"/>
        <w:spacing w:after="110" w:line="330" w:lineRule="auto"/>
      </w:pPr>
      <w:r>
        <w:rPr>
          <w:sz w:val="22"/>
          <w:szCs w:val="22"/>
          <w:rFonts w:ascii="Arial" w:hAnsi="Arial" w:cs="Noto Naskh Arabic"/>
        </w:rPr>
        <w:t xml:space="preserve">6. Registry history and protocol-to-publication deviation table.</w:t>
      </w:r>
    </w:p>
    <w:p>
      <w:pPr>
        <w:jc w:val="left"/>
        <w:spacing w:after="110" w:line="330" w:lineRule="auto"/>
      </w:pPr>
      <w:r>
        <w:rPr>
          <w:sz w:val="22"/>
          <w:szCs w:val="22"/>
          <w:rFonts w:ascii="Arial" w:hAnsi="Arial" w:cs="Noto Naskh Arabic"/>
        </w:rPr>
        <w:t xml:space="preserve">7. CONSORT participant-flow diagram.</w:t>
      </w:r>
    </w:p>
    <w:p>
      <w:pPr>
        <w:jc w:val="left"/>
        <w:spacing w:after="110" w:line="330" w:lineRule="auto"/>
      </w:pPr>
      <w:r>
        <w:rPr>
          <w:sz w:val="22"/>
          <w:szCs w:val="22"/>
          <w:rFonts w:ascii="Arial" w:hAnsi="Arial" w:cs="Noto Naskh Arabic"/>
        </w:rPr>
        <w:t xml:space="preserve">8. Randomization and envelope implementation audit.</w:t>
      </w:r>
    </w:p>
    <w:p>
      <w:pPr>
        <w:jc w:val="left"/>
        <w:spacing w:after="110" w:line="330" w:lineRule="auto"/>
      </w:pPr>
      <w:r>
        <w:rPr>
          <w:sz w:val="22"/>
          <w:szCs w:val="22"/>
          <w:rFonts w:ascii="Arial" w:hAnsi="Arial" w:cs="Noto Naskh Arabic"/>
        </w:rPr>
        <w:t xml:space="preserve">9. De-identified data dictionary and reproducible code.</w:t>
      </w:r>
    </w:p>
    <w:p>
      <w:pPr>
        <w:jc w:val="left"/>
        <w:spacing w:after="110" w:line="330" w:lineRule="auto"/>
      </w:pPr>
      <w:r>
        <w:rPr>
          <w:sz w:val="22"/>
          <w:szCs w:val="22"/>
          <w:rFonts w:ascii="Arial" w:hAnsi="Arial" w:cs="Noto Naskh Arabic"/>
        </w:rPr>
        <w:t xml:space="preserve">10. Intervention montage photographs/diagrams and device specifications.</w:t>
      </w:r>
    </w:p>
    <w:p>
      <w:pPr>
        <w:jc w:val="left"/>
        <w:spacing w:after="110" w:line="330" w:lineRule="auto"/>
      </w:pPr>
      <w:r>
        <w:rPr>
          <w:sz w:val="22"/>
          <w:szCs w:val="22"/>
          <w:rFonts w:ascii="Arial" w:hAnsi="Arial" w:cs="Noto Naskh Arabic"/>
        </w:rPr>
        <w:t xml:space="preserve">11. Complete masking cross-tabulation.</w:t>
      </w:r>
    </w:p>
    <w:p>
      <w:pPr>
        <w:jc w:val="left"/>
        <w:spacing w:after="110" w:line="330" w:lineRule="auto"/>
      </w:pPr>
      <w:r>
        <w:rPr>
          <w:sz w:val="22"/>
          <w:szCs w:val="22"/>
          <w:rFonts w:ascii="Arial" w:hAnsi="Arial" w:cs="Noto Naskh Arabic"/>
        </w:rPr>
        <w:t xml:space="preserve">12. Complete harms table.</w:t>
      </w:r>
    </w:p>
    <w:p>
      <w:pPr>
        <w:pStyle w:val="Heading2"/>
        <w:jc w:val="left"/>
        <w:spacing w:after="110" w:line="330" w:lineRule="auto"/>
        <w:keepNext/>
      </w:pPr>
      <w:r>
        <w:rPr>
          <w:b/>
          <w:sz w:val="24"/>
          <w:szCs w:val="24"/>
          <w:rFonts w:ascii="Arial" w:hAnsi="Arial" w:cs="Noto Naskh Arabic"/>
        </w:rPr>
        <w:t xml:space="preserve">Corrected and added references</w:t>
      </w:r>
    </w:p>
    <w:p>
      <w:pPr>
        <w:jc w:val="left"/>
        <w:spacing w:after="110" w:line="330" w:lineRule="auto"/>
      </w:pPr>
      <w:r>
        <w:rPr>
          <w:sz w:val="22"/>
          <w:szCs w:val="22"/>
          <w:rFonts w:ascii="Arial" w:hAnsi="Arial" w:cs="Noto Naskh Arabic"/>
        </w:rPr>
        <w:t xml:space="preserve">Retain the original numbering for unchanged references during revision, correct references 11, 21, 31, and 38 as shown in the accompanying audit, and add references 41–56 below. Renumber the complete list automatically after the target journal is selected.</w:t>
      </w:r>
    </w:p>
    <w:p>
      <w:pPr>
        <w:jc w:val="left"/>
        <w:spacing w:after="110" w:line="330" w:lineRule="auto"/>
      </w:pPr>
      <w:r>
        <w:rPr>
          <w:sz w:val="22"/>
          <w:szCs w:val="22"/>
          <w:rFonts w:ascii="Arial" w:hAnsi="Arial" w:cs="Noto Naskh Arabic"/>
        </w:rPr>
        <w:t xml:space="preserve">38. Zandifar A, Banihashemi M, Haghdoost F, Masjedi SS, Manouchehri N, Asgari F, Najafi MR, Ghorbani A, Zandifar S, Saadatnia M. Reliability and validity of the Persian HIT-6 questionnaire in migraine and tension-type headache. Pain Pract. 2014;14(7):625–631. doi:10.1111/papr.12120.</w:t>
      </w:r>
    </w:p>
    <w:p>
      <w:pPr>
        <w:jc w:val="left"/>
        <w:spacing w:after="110" w:line="330" w:lineRule="auto"/>
      </w:pPr>
      <w:r>
        <w:rPr>
          <w:sz w:val="22"/>
          <w:szCs w:val="22"/>
          <w:rFonts w:ascii="Arial" w:hAnsi="Arial" w:cs="Noto Naskh Arabic"/>
        </w:rPr>
        <w:t xml:space="preserve">41. Stovner LJ, Hagen K, Linde M, Steiner TJ. The global prevalence of headache: an update, with analysis of the influences of methodological factors on prevalence estimates. J Headache Pain. 2022;23:34. doi:10.1186/s10194-022-01402-2.</w:t>
      </w:r>
    </w:p>
    <w:p>
      <w:pPr>
        <w:jc w:val="left"/>
        <w:spacing w:after="110" w:line="330" w:lineRule="auto"/>
      </w:pPr>
      <w:r>
        <w:rPr>
          <w:sz w:val="22"/>
          <w:szCs w:val="22"/>
          <w:rFonts w:ascii="Arial" w:hAnsi="Arial" w:cs="Noto Naskh Arabic"/>
        </w:rPr>
        <w:t xml:space="preserve">42. Ashina M, Katsarava Z, Do TP, et al. Migraine: epidemiology and systems of care. Lancet. 2021;397(10283):1485–1495. doi:10.1016/S0140-6736(20)32160-7.</w:t>
      </w:r>
    </w:p>
    <w:p>
      <w:pPr>
        <w:jc w:val="left"/>
        <w:spacing w:after="110" w:line="330" w:lineRule="auto"/>
      </w:pPr>
      <w:r>
        <w:rPr>
          <w:sz w:val="22"/>
          <w:szCs w:val="22"/>
          <w:rFonts w:ascii="Arial" w:hAnsi="Arial" w:cs="Noto Naskh Arabic"/>
        </w:rPr>
        <w:t xml:space="preserve">43. Puledda F, Silva EM, Suwanlaong K, Goadsby PJ. Migraine: from pathophysiology to treatment. J Neurol. 2023;270(7):3654–3666. doi:10.1007/s00415-023-11706-1.</w:t>
      </w:r>
    </w:p>
    <w:p>
      <w:pPr>
        <w:jc w:val="left"/>
        <w:spacing w:after="110" w:line="330" w:lineRule="auto"/>
      </w:pPr>
      <w:r>
        <w:rPr>
          <w:sz w:val="22"/>
          <w:szCs w:val="22"/>
          <w:rFonts w:ascii="Arial" w:hAnsi="Arial" w:cs="Noto Naskh Arabic"/>
        </w:rPr>
        <w:t xml:space="preserve">44. Stanak M, Wolf S, Jagoš H, Zebenholzer K. The impact of external trigeminal nerve stimulator on prevention and acute treatment of episodic and chronic migraine: a systematic review. J Neurol Sci. 2020;412:116725. doi:10.1016/j.jns.2020.116725.</w:t>
      </w:r>
    </w:p>
    <w:p>
      <w:pPr>
        <w:jc w:val="left"/>
        <w:spacing w:after="110" w:line="330" w:lineRule="auto"/>
      </w:pPr>
      <w:r>
        <w:rPr>
          <w:sz w:val="22"/>
          <w:szCs w:val="22"/>
          <w:rFonts w:ascii="Arial" w:hAnsi="Arial" w:cs="Noto Naskh Arabic"/>
        </w:rPr>
        <w:t xml:space="preserve">45. Tassorelli C, Diener HC, Silberstein SD, et al. Guidelines of the International Headache Society for clinical trials with neuromodulation devices for the treatment of migraine. Cephalalgia. 2021;41(11–12):1135–1151. doi:10.1177/03331024211010413.</w:t>
      </w:r>
    </w:p>
    <w:p>
      <w:pPr>
        <w:jc w:val="left"/>
        <w:spacing w:after="110" w:line="330" w:lineRule="auto"/>
      </w:pPr>
      <w:r>
        <w:rPr>
          <w:sz w:val="22"/>
          <w:szCs w:val="22"/>
          <w:rFonts w:ascii="Arial" w:hAnsi="Arial" w:cs="Noto Naskh Arabic"/>
        </w:rPr>
        <w:t xml:space="preserve">46. Evans AG, Horrar AN, Ibrahim MM, et al. Outcomes of transcutaneous nerve stimulation for migraine headaches: a systematic review and meta-analysis. J Neurol. 2022;269(8):4021–4029. doi:10.1007/s00415-022-11059-1.</w:t>
      </w:r>
    </w:p>
    <w:p>
      <w:pPr>
        <w:jc w:val="left"/>
        <w:spacing w:after="110" w:line="330" w:lineRule="auto"/>
      </w:pPr>
      <w:r>
        <w:rPr>
          <w:sz w:val="22"/>
          <w:szCs w:val="22"/>
          <w:rFonts w:ascii="Arial" w:hAnsi="Arial" w:cs="Noto Naskh Arabic"/>
        </w:rPr>
        <w:t xml:space="preserve">47. Yuan H, Orr SL, Al-Karagholi MAM, et al. International Headache Society evidence-based guidelines on the use of non-invasive neuromodulation devices for the acute and preventive treatment of migraine. Cephalalgia. 2025;45(10). doi:10.1177/03331024251388377.</w:t>
      </w:r>
    </w:p>
    <w:p>
      <w:pPr>
        <w:jc w:val="left"/>
        <w:spacing w:after="110" w:line="330" w:lineRule="auto"/>
      </w:pPr>
      <w:r>
        <w:rPr>
          <w:sz w:val="22"/>
          <w:szCs w:val="22"/>
          <w:rFonts w:ascii="Arial" w:hAnsi="Arial" w:cs="Noto Naskh Arabic"/>
        </w:rPr>
        <w:t xml:space="preserve">48. Hopewell S, Chan AW, Collins GS, et al. CONSORT 2025 statement: updated guideline for reporting randomised trials. BMJ. 2025;389:e081123. doi:10.1136/bmj-2024-081123.</w:t>
      </w:r>
    </w:p>
    <w:p>
      <w:pPr>
        <w:jc w:val="left"/>
        <w:spacing w:after="110" w:line="330" w:lineRule="auto"/>
      </w:pPr>
      <w:r>
        <w:rPr>
          <w:sz w:val="22"/>
          <w:szCs w:val="22"/>
          <w:rFonts w:ascii="Arial" w:hAnsi="Arial" w:cs="Noto Naskh Arabic"/>
        </w:rPr>
        <w:t xml:space="preserve">49. Junqueira DR, Zorzela L, Golder S, et al. CONSORT Harms 2022 statement, explanation, and elaboration: updated guideline for the reporting of harms in randomised trials. BMJ. 2023;381:e073725. doi:10.1136/bmj-2022-073725.</w:t>
      </w:r>
    </w:p>
    <w:p>
      <w:pPr>
        <w:jc w:val="left"/>
        <w:spacing w:after="110" w:line="330" w:lineRule="auto"/>
      </w:pPr>
      <w:r>
        <w:rPr>
          <w:sz w:val="22"/>
          <w:szCs w:val="22"/>
          <w:rFonts w:ascii="Arial" w:hAnsi="Arial" w:cs="Noto Naskh Arabic"/>
        </w:rPr>
        <w:t xml:space="preserve">50. Ashina S, Terwindt GM, Steiner TJ, et al. Medication overuse headache. Nat Rev Dis Primers. 2023;9:5. doi:10.1038/s41572-022-00415-0.</w:t>
      </w:r>
    </w:p>
    <w:p>
      <w:pPr>
        <w:jc w:val="left"/>
        <w:spacing w:after="110" w:line="330" w:lineRule="auto"/>
      </w:pPr>
      <w:r>
        <w:rPr>
          <w:sz w:val="22"/>
          <w:szCs w:val="22"/>
          <w:rFonts w:ascii="Arial" w:hAnsi="Arial" w:cs="Noto Naskh Arabic"/>
        </w:rPr>
        <w:t xml:space="preserve">51. Zandifar A, Asgari F, Haghdoost F, Masjedi SS, Manouchehri N, Banihashemi M, et al. Reliability and validity of the Migraine Disability Assessment Scale among migraine and tension type headache in Iranian patients. Biomed Res Int. 2014;2014:978064. doi:10.1155/2014/978064.</w:t>
      </w:r>
    </w:p>
    <w:p>
      <w:pPr>
        <w:jc w:val="left"/>
        <w:spacing w:after="110" w:line="330" w:lineRule="auto"/>
      </w:pPr>
      <w:r>
        <w:rPr>
          <w:sz w:val="22"/>
          <w:szCs w:val="22"/>
          <w:rFonts w:ascii="Arial" w:hAnsi="Arial" w:cs="Noto Naskh Arabic"/>
        </w:rPr>
        <w:t xml:space="preserve">52. Diener HC, Tassorelli C, Dodick DW, et al. Guidelines of the International Headache Society for controlled trials of preventive treatment of migraine attacks in episodic migraine in adults. Cephalalgia. 2020;40(10):1026–1044. doi:10.1177/0333102420941839.</w:t>
      </w:r>
    </w:p>
    <w:p>
      <w:pPr>
        <w:jc w:val="left"/>
        <w:spacing w:after="110" w:line="330" w:lineRule="auto"/>
      </w:pPr>
      <w:r>
        <w:rPr>
          <w:sz w:val="22"/>
          <w:szCs w:val="22"/>
          <w:rFonts w:ascii="Arial" w:hAnsi="Arial" w:cs="Noto Naskh Arabic"/>
        </w:rPr>
        <w:t xml:space="preserve">53. GBD 2023 Headache Collaborators. Global, regional, and national burden of headache disorders, 1990–2023: a systematic analysis for the Global Burden of Disease Study 2023. Lancet Neurol. 2025;24(12):1005–1015. doi:10.1016/S1474-4422(25)00402-8.</w:t>
      </w:r>
    </w:p>
    <w:p>
      <w:pPr>
        <w:jc w:val="left"/>
        <w:spacing w:after="110" w:line="330" w:lineRule="auto"/>
      </w:pPr>
      <w:r>
        <w:rPr>
          <w:sz w:val="22"/>
          <w:szCs w:val="22"/>
          <w:rFonts w:ascii="Arial" w:hAnsi="Arial" w:cs="Noto Naskh Arabic"/>
        </w:rPr>
        <w:t xml:space="preserve">54. Zhou S, Hussain N, Abd-Elsayed A, Boulos R, Hakim M, Gupta M, Weaver T. Peripheral nerve stimulation for treatment of headaches: an evidence-based review. Biomedicines. 2021;9(11):1588. doi:10.3390/biomedicines9111588.</w:t>
      </w:r>
    </w:p>
    <w:p>
      <w:pPr>
        <w:jc w:val="left"/>
        <w:spacing w:after="110" w:line="330" w:lineRule="auto"/>
      </w:pPr>
      <w:r>
        <w:rPr>
          <w:sz w:val="22"/>
          <w:szCs w:val="22"/>
          <w:rFonts w:ascii="Arial" w:hAnsi="Arial" w:cs="Noto Naskh Arabic"/>
        </w:rPr>
        <w:t xml:space="preserve">55. Cocores AN, Smirnoff L, Greco G, Herrera R, Monteith TS. Update on neuromodulation for migraine and other primary headache disorders: recent advances and new indications. Curr Pain Headache Rep. 2025;29:47. doi:10.1007/s11916-024-01314-7.</w:t>
      </w:r>
    </w:p>
    <w:p>
      <w:pPr>
        <w:jc w:val="left"/>
        <w:spacing w:after="110" w:line="330" w:lineRule="auto"/>
      </w:pPr>
      <w:r>
        <w:rPr>
          <w:sz w:val="22"/>
          <w:szCs w:val="22"/>
          <w:rFonts w:ascii="Arial" w:hAnsi="Arial" w:cs="Noto Naskh Arabic"/>
        </w:rPr>
        <w:t xml:space="preserve">56. Ye Y, Xie X, Huang H, Zhang H, Yu Y, Qu W. Efficacy and safety of transcutaneous supraorbital nerve stimulation versus topiramate for migraine prevention: a non-inferiority randomized trial. J Headache Pain. 2026;27:143. doi:10.1186/s10194-026-02367-2.</w:t>
      </w:r>
    </w:p>
    <w:p>
      <w:pPr>
        <w:pStyle w:val="Heading3"/>
        <w:jc w:val="left"/>
        <w:spacing w:after="110" w:line="330" w:lineRule="auto"/>
        <w:keepNext/>
      </w:pPr>
      <w:r>
        <w:rPr>
          <w:b/>
          <w:sz w:val="20"/>
          <w:szCs w:val="20"/>
          <w:rFonts w:ascii="Arial" w:hAnsi="Arial" w:cs="Noto Naskh Arabic"/>
        </w:rPr>
        <w:t xml:space="preserve">References to remove or restrict</w:t>
      </w:r>
    </w:p>
    <w:p>
      <w:pPr>
        <w:jc w:val="left"/>
        <w:spacing w:after="110" w:line="330" w:lineRule="auto"/>
      </w:pPr>
      <w:r>
        <w:rPr>
          <w:sz w:val="22"/>
          <w:szCs w:val="22"/>
          <w:rFonts w:ascii="Arial" w:hAnsi="Arial" w:cs="Noto Naskh Arabic"/>
        </w:rPr>
        <w:t xml:space="preserve">• Reference 17 is an abstract-only pilot report and should not support an efficacy claim.</w:t>
      </w:r>
    </w:p>
    <w:p>
      <w:pPr>
        <w:jc w:val="left"/>
        <w:spacing w:after="110" w:line="330" w:lineRule="auto"/>
      </w:pPr>
      <w:r>
        <w:rPr>
          <w:sz w:val="22"/>
          <w:szCs w:val="22"/>
          <w:rFonts w:ascii="Arial" w:hAnsi="Arial" w:cs="Noto Naskh Arabic"/>
        </w:rPr>
        <w:t xml:space="preserve">• Reference 24 concerns implanted occipital plus supraorbital stimulation and must not support infraorbital TENS.</w:t>
      </w:r>
    </w:p>
    <w:p>
      <w:pPr>
        <w:jc w:val="left"/>
        <w:spacing w:after="110" w:line="330" w:lineRule="auto"/>
      </w:pPr>
      <w:r>
        <w:rPr>
          <w:sz w:val="22"/>
          <w:szCs w:val="22"/>
          <w:rFonts w:ascii="Arial" w:hAnsi="Arial" w:cs="Noto Naskh Arabic"/>
        </w:rPr>
        <w:t xml:space="preserve">• Reference 31 is a meeting abstract with incorrect metadata in the supplied manuscript and does not validate MPQ-5 as a continuous longitudinal endpoint.</w:t>
      </w:r>
    </w:p>
    <w:p>
      <w:pPr>
        <w:jc w:val="left"/>
        <w:spacing w:after="110" w:line="330" w:lineRule="auto"/>
      </w:pPr>
      <w:r>
        <w:rPr>
          <w:sz w:val="22"/>
          <w:szCs w:val="22"/>
          <w:rFonts w:ascii="Arial" w:hAnsi="Arial" w:cs="Noto Naskh Arabic"/>
        </w:rPr>
        <w:t xml:space="preserve">• Reference 16 supports post-marketing tolerability and satisfaction, not efficacy.</w:t>
      </w:r>
    </w:p>
    <w:p>
      <w:pPr>
        <w:jc w:val="left"/>
        <w:spacing w:after="110" w:line="330" w:lineRule="auto"/>
      </w:pPr>
      <w:r>
        <w:rPr>
          <w:sz w:val="22"/>
          <w:szCs w:val="22"/>
          <w:rFonts w:ascii="Arial" w:hAnsi="Arial" w:cs="Noto Naskh Arabic"/>
        </w:rPr>
        <w:t xml:space="preserve">• References 18–20 are uncontrolled exploratory studies.</w:t>
      </w:r>
    </w:p>
    <w:p>
      <w:pPr>
        <w:jc w:val="left"/>
        <w:spacing w:after="110" w:line="330" w:lineRule="auto"/>
      </w:pPr>
      <w:r>
        <w:rPr>
          <w:sz w:val="22"/>
          <w:szCs w:val="22"/>
          <w:rFonts w:ascii="Arial" w:hAnsi="Arial" w:cs="Noto Naskh Arabic"/>
        </w:rPr>
        <w:t xml:space="preserve">• Reference 25 (TEAM) concerns acute treatment, not prevention.</w:t>
      </w:r>
    </w:p>
    <w:p>
      <w:pPr>
        <w:jc w:val="left"/>
        <w:spacing w:after="110" w:line="330" w:lineRule="auto"/>
      </w:pPr>
      <w:r>
        <w:rPr>
          <w:sz w:val="22"/>
          <w:szCs w:val="22"/>
          <w:rFonts w:ascii="Arial" w:hAnsi="Arial" w:cs="Noto Naskh Arabic"/>
        </w:rPr>
        <w:t xml:space="preserve">• Reference 40 concerns vagus nerve stimulation and is only indirect evidence for the present intervention.</w:t>
      </w:r>
    </w:p>
    <w:sectPr>
      <w:pgSz w:w="11906" w:h="16838"/>
      <w:pgMar w:top="900" w:right="850" w:bottom="900" w:left="850" w:header="400" w:footer="400"/>
    </w:sectPr>
  </w:body>
</w:document>
</file>

<file path=word/styles.xml><?xml version="1.0" encoding="utf-8"?>
<w:styles xmlns:w="http://schemas.openxmlformats.org/wordprocessingml/2006/main">
  <w:docDefaults>
    <w:rPrDefault>
      <w:rPr>
        <w:rFonts w:ascii="Arial" w:hAnsi="Arial" w:cs="Noto Naskh Arabic"/>
        <w:sz w:val="22"/>
        <w:szCs w:val="22"/>
      </w:rPr>
    </w:rPrDefault>
  </w:docDefaults>
  <w:style w:type="paragraph" w:default="1" w:styleId="Normal">
    <w:name w:val="Normal"/>
  </w:style>
  <w:style w:type="paragraph" w:styleId="Title">
    <w:name w:val="Title"/>
    <w:basedOn w:val="Normal"/>
    <w:pPr>
      <w:keepNext/>
      <w:spacing w:after="220"/>
    </w:pPr>
    <w:rPr>
      <w:b/>
      <w:color w:val="173C6B"/>
      <w:sz w:val="40"/>
      <w:szCs w:val="40"/>
    </w:rPr>
  </w:style>
  <w:style w:type="paragraph" w:styleId="Heading1">
    <w:name w:val="heading 1"/>
    <w:basedOn w:val="Normal"/>
    <w:pPr>
      <w:keepNext/>
      <w:spacing w:before="260" w:after="140"/>
    </w:pPr>
    <w:rPr>
      <w:b/>
      <w:color w:val="173C6B"/>
      <w:sz w:val="32"/>
      <w:szCs w:val="32"/>
    </w:rPr>
  </w:style>
  <w:style w:type="paragraph" w:styleId="Heading2">
    <w:name w:val="heading 2"/>
    <w:basedOn w:val="Normal"/>
    <w:pPr>
      <w:keepNext/>
      <w:spacing w:before="220" w:after="110"/>
    </w:pPr>
    <w:rPr>
      <w:b/>
      <w:color w:val="244F7B"/>
      <w:sz w:val="28"/>
      <w:szCs w:val="28"/>
    </w:rPr>
  </w:style>
  <w:style w:type="paragraph" w:styleId="Heading3">
    <w:name w:val="heading 3"/>
    <w:basedOn w:val="Normal"/>
    <w:pPr>
      <w:keepNext/>
      <w:spacing w:before="180" w:after="90"/>
    </w:pPr>
    <w:rPr>
      <w:b/>
      <w:color w:val="315D88"/>
      <w:sz w:val="25"/>
      <w:szCs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Manuscript Review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Manuscript Review and Revision Package</dc:title>
  <dc:creator>Manuscript review team</dc:creator>
  <dcterms:created xsi:type="dcterms:W3CDTF">2026-07-26T14:29:55Z</dcterms:created>
  <dcterms:modified xsi:type="dcterms:W3CDTF">2026-07-26T14:29:55Z</dcterms:modified>
</cp:coreProperties>
</file>