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bidi/>
        <w:jc w:val="right"/>
        <w:spacing w:after="110" w:line="330" w:lineRule="auto"/>
        <w:keepNext/>
      </w:pPr>
      <w:r>
        <w:rPr>
          <w:b/>
          <w:sz w:val="40"/>
          <w:szCs w:val="40"/>
          <w:rFonts w:ascii="Arial" w:hAnsi="Arial" w:cs="Noto Naskh Arabic"/>
        </w:rPr>
        <w:t xml:space="preserve">بسته کامل داوری و اصلاح مقاله</w:t>
      </w:r>
    </w:p>
    <w:p>
      <w:pPr>
        <w:bidi/>
        <w:jc w:val="right"/>
        <w:spacing w:after="110" w:line="330" w:lineRule="auto"/>
      </w:pPr>
      <w:r>
        <w:rPr>
          <w:b/>
          <w:sz w:val="26"/>
          <w:szCs w:val="26"/>
          <w:rFonts w:ascii="Arial" w:hAnsi="Arial" w:cs="Noto Naskh Arabic"/>
        </w:rPr>
        <w:t xml:space="preserve">داوری تخصصی Q1، ممیزی منابع و نسخه اصلاحی انگلیسی</w:t>
      </w:r>
    </w:p>
    <w:p>
      <w:pPr>
        <w:bidi/>
        <w:jc w:val="right"/>
        <w:spacing w:after="110" w:line="330" w:lineRule="auto"/>
      </w:pPr>
      <w:r>
        <w:rPr>
          <w:sz w:val="22"/>
          <w:szCs w:val="22"/>
          <w:rFonts w:ascii="Arial" w:hAnsi="Arial" w:cs="Noto Naskh Arabic"/>
        </w:rPr>
        <w:t xml:space="preserve">نسخه مناسب مطالعه در آیفون</w:t>
      </w:r>
    </w:p>
    <w:p>
      <w:r>
        <w:br w:type="page"/>
      </w:r>
    </w:p>
    <w:p>
      <w:pPr>
        <w:pStyle w:val="Title"/>
        <w:bidi/>
        <w:jc w:val="right"/>
        <w:spacing w:after="110" w:line="330" w:lineRule="auto"/>
        <w:keepNext/>
      </w:pPr>
      <w:r>
        <w:rPr>
          <w:b/>
          <w:sz w:val="36"/>
          <w:szCs w:val="36"/>
          <w:rFonts w:ascii="Arial" w:hAnsi="Arial" w:cs="Noto Naskh Arabic"/>
        </w:rPr>
        <w:t xml:space="preserve">گزارش داوری تخصصی Q1</w:t>
      </w:r>
    </w:p>
    <w:p>
      <w:pPr>
        <w:pStyle w:val="Heading1"/>
        <w:bidi/>
        <w:jc w:val="right"/>
        <w:spacing w:after="110" w:line="330" w:lineRule="auto"/>
        <w:keepNext/>
      </w:pPr>
      <w:r>
        <w:rPr>
          <w:b/>
          <w:sz w:val="28"/>
          <w:szCs w:val="28"/>
          <w:rFonts w:ascii="Arial" w:hAnsi="Arial" w:cs="Noto Naskh Arabic"/>
        </w:rPr>
        <w:t xml:space="preserve">گزارش داوری تخصصی مقاله</w:t>
      </w:r>
    </w:p>
    <w:p>
      <w:pPr>
        <w:pStyle w:val="Heading2"/>
        <w:bidi/>
        <w:jc w:val="right"/>
        <w:spacing w:after="110" w:line="330" w:lineRule="auto"/>
        <w:keepNext/>
      </w:pPr>
      <w:r>
        <w:rPr>
          <w:b/>
          <w:sz w:val="24"/>
          <w:szCs w:val="24"/>
          <w:rFonts w:ascii="Arial" w:hAnsi="Arial" w:cs="Noto Naskh Arabic"/>
        </w:rPr>
        <w:t xml:space="preserve">تصمیم پیشنهادی</w:t>
      </w:r>
    </w:p>
    <w:p>
      <w:pPr>
        <w:bidi/>
        <w:jc w:val="right"/>
        <w:spacing w:after="110" w:line="330" w:lineRule="auto"/>
      </w:pPr>
      <w:r>
        <w:rPr>
          <w:sz w:val="22"/>
          <w:szCs w:val="22"/>
          <w:rFonts w:ascii="Arial" w:hAnsi="Arial" w:cs="Noto Naskh Arabic"/>
        </w:rPr>
        <w:t xml:space="preserve">رد در وضعیت فعلی (Reject in current form)، با امکان ارسال مجدد فقط پس از ارائه مستندات و بازتحلیل داده‌های فردی.</w:t>
      </w:r>
    </w:p>
    <w:p>
      <w:pPr>
        <w:bidi/>
        <w:jc w:val="right"/>
        <w:spacing w:after="110" w:line="330" w:lineRule="auto"/>
      </w:pPr>
      <w:r>
        <w:rPr>
          <w:sz w:val="22"/>
          <w:szCs w:val="22"/>
          <w:rFonts w:ascii="Arial" w:hAnsi="Arial" w:cs="Noto Naskh Arabic"/>
        </w:rPr>
        <w:t xml:space="preserve">موضوع پژوهش مهم و از نظر بالینی جالب است، اما نسخه فعلی صرفاً با ویرایش زبان یا بازنویسی بحث قابل اصلاح نیست. سه مسئله اعتبار مقاله را مستقیماً تهدید می‌کند:</w:t>
      </w:r>
    </w:p>
    <w:p>
      <w:pPr>
        <w:bidi/>
        <w:jc w:val="right"/>
        <w:spacing w:after="110" w:line="330" w:lineRule="auto"/>
      </w:pPr>
      <w:r>
        <w:rPr>
          <w:sz w:val="22"/>
          <w:szCs w:val="22"/>
          <w:rFonts w:ascii="Arial" w:hAnsi="Arial" w:cs="Noto Naskh Arabic"/>
        </w:rPr>
        <w:t xml:space="preserve">1. شماره و تاریخ تأیید اخلاق و ثبت کارآزمایی خالی است؛ بنابراین ادعای ثبت آینده‌نگر قابل راستی‌آزمایی نیست.</w:t>
      </w:r>
    </w:p>
    <w:p>
      <w:pPr>
        <w:bidi/>
        <w:jc w:val="right"/>
        <w:spacing w:after="110" w:line="330" w:lineRule="auto"/>
      </w:pPr>
      <w:r>
        <w:rPr>
          <w:sz w:val="22"/>
          <w:szCs w:val="22"/>
          <w:rFonts w:ascii="Arial" w:hAnsi="Arial" w:cs="Noto Naskh Arabic"/>
        </w:rPr>
        <w:t xml:space="preserve">2. تصادفی‌سازی ۱:۱:۱ با بلوک ثابت ۴تایی، به شکلی که نوشته شده، از نظر ریاضی ممکن نیست.</w:t>
      </w:r>
    </w:p>
    <w:p>
      <w:pPr>
        <w:bidi/>
        <w:jc w:val="right"/>
        <w:spacing w:after="110" w:line="330" w:lineRule="auto"/>
      </w:pPr>
      <w:r>
        <w:rPr>
          <w:sz w:val="22"/>
          <w:szCs w:val="22"/>
          <w:rFonts w:ascii="Arial" w:hAnsi="Arial" w:cs="Noto Naskh Arabic"/>
        </w:rPr>
        <w:t xml:space="preserve">3. تحلیل حساسیت جدول ۸ نامعتبر و با داده‌های جداول ۲ و ۷ ناسازگار است.</w:t>
      </w:r>
    </w:p>
    <w:p>
      <w:pPr>
        <w:bidi/>
        <w:jc w:val="right"/>
        <w:spacing w:after="110" w:line="330" w:lineRule="auto"/>
      </w:pPr>
      <w:r>
        <w:rPr>
          <w:sz w:val="22"/>
          <w:szCs w:val="22"/>
          <w:rFonts w:ascii="Arial" w:hAnsi="Arial" w:cs="Noto Naskh Arabic"/>
        </w:rPr>
        <w:t xml:space="preserve">تا زمانی که مدارک اخلاق و ثبت، توالی واقعی تصادفی‌سازی و داده‌های فردی ارائه نشود، مقاله نباید به‌عنوان یک RCT تأییدی منتشر شود.</w:t>
      </w:r>
    </w:p>
    <w:p>
      <w:pPr>
        <w:pStyle w:val="Heading2"/>
        <w:bidi/>
        <w:jc w:val="right"/>
        <w:spacing w:after="110" w:line="330" w:lineRule="auto"/>
        <w:keepNext/>
      </w:pPr>
      <w:r>
        <w:rPr>
          <w:b/>
          <w:sz w:val="24"/>
          <w:szCs w:val="24"/>
          <w:rFonts w:ascii="Arial" w:hAnsi="Arial" w:cs="Noto Naskh Arabic"/>
        </w:rPr>
        <w:t xml:space="preserve">نقاط قوت</w:t>
      </w:r>
    </w:p>
    <w:p>
      <w:pPr>
        <w:bidi/>
        <w:jc w:val="right"/>
        <w:spacing w:after="110" w:line="330" w:lineRule="auto"/>
      </w:pPr>
      <w:r>
        <w:rPr>
          <w:sz w:val="22"/>
          <w:szCs w:val="22"/>
          <w:rFonts w:ascii="Arial" w:hAnsi="Arial" w:cs="Noto Naskh Arabic"/>
        </w:rPr>
        <w:t xml:space="preserve">• پرسش بالینی درباره تحریک شاخه‌های مختلف عصب سه‌قلو جدید و بالقوه مفید است.</w:t>
      </w:r>
    </w:p>
    <w:p>
      <w:pPr>
        <w:bidi/>
        <w:jc w:val="right"/>
        <w:spacing w:after="110" w:line="330" w:lineRule="auto"/>
      </w:pPr>
      <w:r>
        <w:rPr>
          <w:sz w:val="22"/>
          <w:szCs w:val="22"/>
          <w:rFonts w:ascii="Arial" w:hAnsi="Arial" w:cs="Noto Naskh Arabic"/>
        </w:rPr>
        <w:t xml:space="preserve">• وجود سه بازو و کنترل sham در اصل طراحی ارزشمند است.</w:t>
      </w:r>
    </w:p>
    <w:p>
      <w:pPr>
        <w:bidi/>
        <w:jc w:val="right"/>
        <w:spacing w:after="110" w:line="330" w:lineRule="auto"/>
      </w:pPr>
      <w:r>
        <w:rPr>
          <w:sz w:val="22"/>
          <w:szCs w:val="22"/>
          <w:rFonts w:ascii="Arial" w:hAnsi="Arial" w:cs="Noto Naskh Arabic"/>
        </w:rPr>
        <w:t xml:space="preserve">• پیامدهای چندبعدی شامل فراوانی حمله، شدت درد، ناتوانی، اثر سردرد و مصرف دارو بررسی شده‌اند.</w:t>
      </w:r>
    </w:p>
    <w:p>
      <w:pPr>
        <w:bidi/>
        <w:jc w:val="right"/>
        <w:spacing w:after="110" w:line="330" w:lineRule="auto"/>
      </w:pPr>
      <w:r>
        <w:rPr>
          <w:sz w:val="22"/>
          <w:szCs w:val="22"/>
          <w:rFonts w:ascii="Arial" w:hAnsi="Arial" w:cs="Noto Naskh Arabic"/>
        </w:rPr>
        <w:t xml:space="preserve">• هیچ ریزش پس از تصادفی‌سازی گزارش نشده است.</w:t>
      </w:r>
    </w:p>
    <w:p>
      <w:pPr>
        <w:bidi/>
        <w:jc w:val="right"/>
        <w:spacing w:after="110" w:line="330" w:lineRule="auto"/>
      </w:pPr>
      <w:r>
        <w:rPr>
          <w:sz w:val="22"/>
          <w:szCs w:val="22"/>
          <w:rFonts w:ascii="Arial" w:hAnsi="Arial" w:cs="Noto Naskh Arabic"/>
        </w:rPr>
        <w:t xml:space="preserve">• نویسندگان بخشی از محدودیت‌ها، از جمله توان ناکافی، عدم تقارن sham و احتمال شکست کورسازی را مطرح کرده‌اند.</w:t>
      </w:r>
    </w:p>
    <w:p>
      <w:pPr>
        <w:bidi/>
        <w:jc w:val="right"/>
        <w:spacing w:after="110" w:line="330" w:lineRule="auto"/>
      </w:pPr>
      <w:r>
        <w:rPr>
          <w:sz w:val="22"/>
          <w:szCs w:val="22"/>
          <w:rFonts w:ascii="Arial" w:hAnsi="Arial" w:cs="Noto Naskh Arabic"/>
        </w:rPr>
        <w:t xml:space="preserve">این نقاط قوت، مشکلات اعتبارسنجی و تحلیل را جبران نمی‌کنند.</w:t>
      </w:r>
    </w:p>
    <w:p>
      <w:pPr>
        <w:bidi/>
        <w:jc w:val="right"/>
        <w:spacing w:after="110" w:line="330" w:lineRule="auto"/>
      </w:pPr>
      <w:r>
        <w:rPr>
          <w:sz w:val="18"/>
          <w:szCs w:val="18"/>
          <w:rFonts w:ascii="Arial" w:hAnsi="Arial" w:cs="Noto Naskh Arabic"/>
        </w:rPr>
        <w:t xml:space="preserve">────────────────────────</w:t>
      </w:r>
    </w:p>
    <w:p>
      <w:pPr>
        <w:pStyle w:val="Heading2"/>
        <w:bidi/>
        <w:jc w:val="right"/>
        <w:spacing w:after="110" w:line="330" w:lineRule="auto"/>
        <w:keepNext/>
      </w:pPr>
      <w:r>
        <w:rPr>
          <w:b/>
          <w:sz w:val="24"/>
          <w:szCs w:val="24"/>
          <w:rFonts w:ascii="Arial" w:hAnsi="Arial" w:cs="Noto Naskh Arabic"/>
        </w:rPr>
        <w:t xml:space="preserve">ایرادات بحرانی</w:t>
      </w:r>
    </w:p>
    <w:p>
      <w:pPr>
        <w:pStyle w:val="Heading3"/>
        <w:bidi/>
        <w:jc w:val="right"/>
        <w:spacing w:after="110" w:line="330" w:lineRule="auto"/>
        <w:keepNext/>
      </w:pPr>
      <w:r>
        <w:rPr>
          <w:b/>
          <w:sz w:val="20"/>
          <w:szCs w:val="20"/>
          <w:rFonts w:ascii="Arial" w:hAnsi="Arial" w:cs="Noto Naskh Arabic"/>
        </w:rPr>
        <w:t xml:space="preserve">۱. اخلاق پژوهش و ثبت کارآزمایی قابل تأیید نیست</w:t>
      </w:r>
    </w:p>
    <w:p>
      <w:pPr>
        <w:bidi/>
        <w:jc w:val="right"/>
        <w:spacing w:after="110" w:line="330" w:lineRule="auto"/>
      </w:pPr>
      <w:r>
        <w:rPr>
          <w:sz w:val="22"/>
          <w:szCs w:val="22"/>
          <w:rFonts w:ascii="Arial" w:hAnsi="Arial" w:cs="Noto Naskh Arabic"/>
        </w:rPr>
        <w:t xml:space="preserve">در چکیده، روش‌ها و بخش اظهارات، کد اخلاق و شماره IRCT به صورت [] باقی مانده است. تاریخ ثبت، تاریخ اولین ورود بیمار، پیوند رکورد، پروتکل و برنامه تحلیل آماری نیز وجود ندارد.</w:t>
      </w:r>
    </w:p>
    <w:p>
      <w:pPr>
        <w:bidi/>
        <w:jc w:val="right"/>
        <w:spacing w:after="110" w:line="330" w:lineRule="auto"/>
      </w:pPr>
      <w:r>
        <w:rPr>
          <w:sz w:val="22"/>
          <w:szCs w:val="22"/>
          <w:rFonts w:ascii="Arial" w:hAnsi="Arial" w:cs="Noto Naskh Arabic"/>
        </w:rPr>
        <w:t xml:space="preserve">پیامد: نمی‌توان تأیید کرد که:</w:t>
      </w:r>
    </w:p>
    <w:p>
      <w:pPr>
        <w:bidi/>
        <w:jc w:val="right"/>
        <w:spacing w:after="110" w:line="330" w:lineRule="auto"/>
      </w:pPr>
      <w:r>
        <w:rPr>
          <w:sz w:val="22"/>
          <w:szCs w:val="22"/>
          <w:rFonts w:ascii="Arial" w:hAnsi="Arial" w:cs="Noto Naskh Arabic"/>
        </w:rPr>
        <w:t xml:space="preserve">• مطالعه پیش از ورود اولین شرکت‌کننده ثبت شده است؛</w:t>
      </w:r>
    </w:p>
    <w:p>
      <w:pPr>
        <w:bidi/>
        <w:jc w:val="right"/>
        <w:spacing w:after="110" w:line="330" w:lineRule="auto"/>
      </w:pPr>
      <w:r>
        <w:rPr>
          <w:sz w:val="22"/>
          <w:szCs w:val="22"/>
          <w:rFonts w:ascii="Arial" w:hAnsi="Arial" w:cs="Noto Naskh Arabic"/>
        </w:rPr>
        <w:t xml:space="preserve">• پیامد اصلی و زمان سه‌ماهه از ابتدا تعیین شده‌اند؛</w:t>
      </w:r>
    </w:p>
    <w:p>
      <w:pPr>
        <w:bidi/>
        <w:jc w:val="right"/>
        <w:spacing w:after="110" w:line="330" w:lineRule="auto"/>
      </w:pPr>
      <w:r>
        <w:rPr>
          <w:sz w:val="22"/>
          <w:szCs w:val="22"/>
          <w:rFonts w:ascii="Arial" w:hAnsi="Arial" w:cs="Noto Naskh Arabic"/>
        </w:rPr>
        <w:t xml:space="preserve">• تغییر پیامد یا تحلیل پس از مشاهده نتایج رخ نداده است؛</w:t>
      </w:r>
    </w:p>
    <w:p>
      <w:pPr>
        <w:bidi/>
        <w:jc w:val="right"/>
        <w:spacing w:after="110" w:line="330" w:lineRule="auto"/>
      </w:pPr>
      <w:r>
        <w:rPr>
          <w:sz w:val="22"/>
          <w:szCs w:val="22"/>
          <w:rFonts w:ascii="Arial" w:hAnsi="Arial" w:cs="Noto Naskh Arabic"/>
        </w:rPr>
        <w:t xml:space="preserve">• مطالعه مجوز اخلاق معتبر داشته است.</w:t>
      </w:r>
    </w:p>
    <w:p>
      <w:pPr>
        <w:bidi/>
        <w:jc w:val="right"/>
        <w:spacing w:after="110" w:line="330" w:lineRule="auto"/>
      </w:pPr>
      <w:r>
        <w:rPr>
          <w:sz w:val="22"/>
          <w:szCs w:val="22"/>
          <w:rFonts w:ascii="Arial" w:hAnsi="Arial" w:cs="Noto Naskh Arabic"/>
        </w:rPr>
        <w:t xml:space="preserve">این نگرانی با «محاسبه مجدد» پسینی حجم نمونه، اصلاح پسینی چندگانگی و تحلیل حساسیت جدید تشدید می‌شود.</w:t>
      </w:r>
    </w:p>
    <w:p>
      <w:pPr>
        <w:bidi/>
        <w:jc w:val="right"/>
        <w:spacing w:after="110" w:line="330" w:lineRule="auto"/>
      </w:pPr>
      <w:r>
        <w:rPr>
          <w:sz w:val="22"/>
          <w:szCs w:val="22"/>
          <w:rFonts w:ascii="Arial" w:hAnsi="Arial" w:cs="Noto Naskh Arabic"/>
        </w:rPr>
        <w:t xml:space="preserve">اصلاح الزامی توسط نویسندگان:</w:t>
      </w:r>
    </w:p>
    <w:p>
      <w:pPr>
        <w:bidi/>
        <w:jc w:val="right"/>
        <w:spacing w:after="110" w:line="330" w:lineRule="auto"/>
      </w:pPr>
      <w:r>
        <w:rPr>
          <w:sz w:val="22"/>
          <w:szCs w:val="22"/>
          <w:rFonts w:ascii="Arial" w:hAnsi="Arial" w:cs="Noto Naskh Arabic"/>
        </w:rPr>
        <w:t xml:space="preserve">• درج شماره، تاریخ و مرجع کامل مجوز اخلاق؛</w:t>
      </w:r>
    </w:p>
    <w:p>
      <w:pPr>
        <w:bidi/>
        <w:jc w:val="right"/>
        <w:spacing w:after="110" w:line="330" w:lineRule="auto"/>
      </w:pPr>
      <w:r>
        <w:rPr>
          <w:sz w:val="22"/>
          <w:szCs w:val="22"/>
          <w:rFonts w:ascii="Arial" w:hAnsi="Arial" w:cs="Noto Naskh Arabic"/>
        </w:rPr>
        <w:t xml:space="preserve">• درج شماره IRCT، URL، تاریخ ثبت و تاریخ ورود اولین بیمار؛</w:t>
      </w:r>
    </w:p>
    <w:p>
      <w:pPr>
        <w:bidi/>
        <w:jc w:val="right"/>
        <w:spacing w:after="110" w:line="330" w:lineRule="auto"/>
      </w:pPr>
      <w:r>
        <w:rPr>
          <w:sz w:val="22"/>
          <w:szCs w:val="22"/>
          <w:rFonts w:ascii="Arial" w:hAnsi="Arial" w:cs="Noto Naskh Arabic"/>
        </w:rPr>
        <w:t xml:space="preserve">• ارائه نسخه تاریخ‌دار پروتکل اولیه، همه اصلاحیه‌ها و SAP؛</w:t>
      </w:r>
    </w:p>
    <w:p>
      <w:pPr>
        <w:bidi/>
        <w:jc w:val="right"/>
        <w:spacing w:after="110" w:line="330" w:lineRule="auto"/>
      </w:pPr>
      <w:r>
        <w:rPr>
          <w:sz w:val="22"/>
          <w:szCs w:val="22"/>
          <w:rFonts w:ascii="Arial" w:hAnsi="Arial" w:cs="Noto Naskh Arabic"/>
        </w:rPr>
        <w:t xml:space="preserve">• ساخت جدول شفاف تفاوت‌های ثبت/پروتکل با مقاله و زمان هر تغییر.</w:t>
      </w:r>
    </w:p>
    <w:p>
      <w:pPr>
        <w:bidi/>
        <w:jc w:val="right"/>
        <w:spacing w:after="110" w:line="330" w:lineRule="auto"/>
      </w:pPr>
      <w:r>
        <w:rPr>
          <w:sz w:val="22"/>
          <w:szCs w:val="22"/>
          <w:rFonts w:ascii="Arial" w:hAnsi="Arial" w:cs="Noto Naskh Arabic"/>
        </w:rPr>
        <w:t xml:space="preserve">اگر تأیید اخلاق وجود نداشته یا ثبت پس از شروع جذب انجام شده است، نباید از عبارت «prospectively registered» استفاده شود. این نقص با بازنویسی قابل رفع نیست و باید صادقانه گزارش شود.</w:t>
      </w:r>
    </w:p>
    <w:p>
      <w:pPr>
        <w:pStyle w:val="Heading3"/>
        <w:bidi/>
        <w:jc w:val="right"/>
        <w:spacing w:after="110" w:line="330" w:lineRule="auto"/>
        <w:keepNext/>
      </w:pPr>
      <w:r>
        <w:rPr>
          <w:b/>
          <w:sz w:val="20"/>
          <w:szCs w:val="20"/>
          <w:rFonts w:ascii="Arial" w:hAnsi="Arial" w:cs="Noto Naskh Arabic"/>
        </w:rPr>
        <w:t xml:space="preserve">۲. روش تصادفی‌سازی به شکل گزارش‌شده ناممکن است</w:t>
      </w:r>
    </w:p>
    <w:p>
      <w:pPr>
        <w:bidi/>
        <w:jc w:val="right"/>
        <w:spacing w:after="110" w:line="330" w:lineRule="auto"/>
      </w:pPr>
      <w:r>
        <w:rPr>
          <w:sz w:val="22"/>
          <w:szCs w:val="22"/>
          <w:rFonts w:ascii="Arial" w:hAnsi="Arial" w:cs="Noto Naskh Arabic"/>
        </w:rPr>
        <w:t xml:space="preserve">مقاله تخصیص ۱:۱:۱ با «بلوک ثابت ۴» را گزارش می‌کند. چهار تخصیص را نمی‌توان به طور مساوی میان سه گروه تقسیم کرد. ممکن است الگوریتمی با بلوک‌های نامتوازن چرخشی به‌کار رفته باشد، اما چنین الگوریتمی توضیح داده نشده است.</w:t>
      </w:r>
    </w:p>
    <w:p>
      <w:pPr>
        <w:bidi/>
        <w:jc w:val="right"/>
        <w:spacing w:after="110" w:line="330" w:lineRule="auto"/>
      </w:pPr>
      <w:r>
        <w:rPr>
          <w:sz w:val="22"/>
          <w:szCs w:val="22"/>
          <w:rFonts w:ascii="Arial" w:hAnsi="Arial" w:cs="Noto Naskh Arabic"/>
        </w:rPr>
        <w:t xml:space="preserve">اصلاح الزامی:</w:t>
      </w:r>
    </w:p>
    <w:p>
      <w:pPr>
        <w:bidi/>
        <w:jc w:val="right"/>
        <w:spacing w:after="110" w:line="330" w:lineRule="auto"/>
      </w:pPr>
      <w:r>
        <w:rPr>
          <w:sz w:val="22"/>
          <w:szCs w:val="22"/>
          <w:rFonts w:ascii="Arial" w:hAnsi="Arial" w:cs="Noto Naskh Arabic"/>
        </w:rPr>
        <w:t xml:space="preserve">• بازیابی توالی اصلی تخصیص و الگوریتم تولید آن؛</w:t>
      </w:r>
    </w:p>
    <w:p>
      <w:pPr>
        <w:bidi/>
        <w:jc w:val="right"/>
        <w:spacing w:after="110" w:line="330" w:lineRule="auto"/>
      </w:pPr>
      <w:r>
        <w:rPr>
          <w:sz w:val="22"/>
          <w:szCs w:val="22"/>
          <w:rFonts w:ascii="Arial" w:hAnsi="Arial" w:cs="Noto Naskh Arabic"/>
        </w:rPr>
        <w:t xml:space="preserve">• گزارش اندازه یا اندازه‌های واقعی بلوک و ترکیب بلوک‌ها؛</w:t>
      </w:r>
    </w:p>
    <w:p>
      <w:pPr>
        <w:bidi/>
        <w:jc w:val="right"/>
        <w:spacing w:after="110" w:line="330" w:lineRule="auto"/>
      </w:pPr>
      <w:r>
        <w:rPr>
          <w:sz w:val="22"/>
          <w:szCs w:val="22"/>
          <w:rFonts w:ascii="Arial" w:hAnsi="Arial" w:cs="Noto Naskh Arabic"/>
        </w:rPr>
        <w:t xml:space="preserve">• معرفی فرد تولیدکننده توالی، آماده‌کننده پاکت‌ها، جذب‌کننده و بازکننده پاکت؛</w:t>
      </w:r>
    </w:p>
    <w:p>
      <w:pPr>
        <w:bidi/>
        <w:jc w:val="right"/>
        <w:spacing w:after="110" w:line="330" w:lineRule="auto"/>
      </w:pPr>
      <w:r>
        <w:rPr>
          <w:sz w:val="22"/>
          <w:szCs w:val="22"/>
          <w:rFonts w:ascii="Arial" w:hAnsi="Arial" w:cs="Noto Naskh Arabic"/>
        </w:rPr>
        <w:t xml:space="preserve">• توضیح پاکت‌های شماره‌دار، کدر، پلمب‌شده و زمان باز شدن؛</w:t>
      </w:r>
    </w:p>
    <w:p>
      <w:pPr>
        <w:bidi/>
        <w:jc w:val="right"/>
        <w:spacing w:after="110" w:line="330" w:lineRule="auto"/>
      </w:pPr>
      <w:r>
        <w:rPr>
          <w:sz w:val="22"/>
          <w:szCs w:val="22"/>
          <w:rFonts w:ascii="Arial" w:hAnsi="Arial" w:cs="Noto Naskh Arabic"/>
        </w:rPr>
        <w:t xml:space="preserve">• ترجیحاً ممیزی مستقل فهرست تخصیص و لاگ پاکت‌ها.</w:t>
      </w:r>
    </w:p>
    <w:p>
      <w:pPr>
        <w:bidi/>
        <w:jc w:val="right"/>
        <w:spacing w:after="110" w:line="330" w:lineRule="auto"/>
      </w:pPr>
      <w:r>
        <w:rPr>
          <w:sz w:val="22"/>
          <w:szCs w:val="22"/>
          <w:rFonts w:ascii="Arial" w:hAnsi="Arial" w:cs="Noto Naskh Arabic"/>
        </w:rPr>
        <w:t xml:space="preserve">اگر مدارک قابل بازیابی نیست، عبارت «randomized» باید با احتیاط جدی مطرح شود و اعتبار تخصیص تصادفی اثبات‌نشده خواهد بود.</w:t>
      </w:r>
    </w:p>
    <w:p>
      <w:pPr>
        <w:pStyle w:val="Heading3"/>
        <w:bidi/>
        <w:jc w:val="right"/>
        <w:spacing w:after="110" w:line="330" w:lineRule="auto"/>
        <w:keepNext/>
      </w:pPr>
      <w:r>
        <w:rPr>
          <w:b/>
          <w:sz w:val="20"/>
          <w:szCs w:val="20"/>
          <w:rFonts w:ascii="Arial" w:hAnsi="Arial" w:cs="Noto Naskh Arabic"/>
        </w:rPr>
        <w:t xml:space="preserve">۳. جدول ۸ از نظر مفهومی و عددی نامعتبر است</w:t>
      </w:r>
    </w:p>
    <w:p>
      <w:pPr>
        <w:bidi/>
        <w:jc w:val="right"/>
        <w:spacing w:after="110" w:line="330" w:lineRule="auto"/>
      </w:pPr>
      <w:r>
        <w:rPr>
          <w:sz w:val="22"/>
          <w:szCs w:val="22"/>
          <w:rFonts w:ascii="Arial" w:hAnsi="Arial" w:cs="Noto Naskh Arabic"/>
        </w:rPr>
        <w:t xml:space="preserve">مقادیر «تحلیل اصلی» در جدول ۸، یعنی −6.35 و −6.78، اختلاف میانگین انتهای سه‌ماهه‌اند:</w:t>
      </w:r>
    </w:p>
    <w:p>
      <w:pPr>
        <w:jc w:val="left"/>
        <w:spacing w:after="110" w:line="330" w:lineRule="auto"/>
      </w:pPr>
      <w:r>
        <w:rPr>
          <w:sz w:val="22"/>
          <w:szCs w:val="22"/>
          <w:rFonts w:ascii="Arial" w:hAnsi="Arial" w:cs="Noto Naskh Arabic"/>
        </w:rPr>
        <w:t xml:space="preserve">• 6.59 − 12.94 = −6.35</w:t>
      </w:r>
    </w:p>
    <w:p>
      <w:pPr>
        <w:jc w:val="left"/>
        <w:spacing w:after="110" w:line="330" w:lineRule="auto"/>
      </w:pPr>
      <w:r>
        <w:rPr>
          <w:sz w:val="22"/>
          <w:szCs w:val="22"/>
          <w:rFonts w:ascii="Arial" w:hAnsi="Arial" w:cs="Noto Naskh Arabic"/>
        </w:rPr>
        <w:t xml:space="preserve">• 6.16 − 12.94 = −6.78</w:t>
      </w:r>
    </w:p>
    <w:p>
      <w:pPr>
        <w:bidi/>
        <w:jc w:val="right"/>
        <w:spacing w:after="110" w:line="330" w:lineRule="auto"/>
      </w:pPr>
      <w:r>
        <w:rPr>
          <w:sz w:val="22"/>
          <w:szCs w:val="22"/>
          <w:rFonts w:ascii="Arial" w:hAnsi="Arial" w:cs="Noto Naskh Arabic"/>
        </w:rPr>
        <w:t xml:space="preserve">اما جدول آنها را «تغییر از خط پایه» معرفی می‌کند. تغییرهای واقعی بر اساس میانگین‌های جدول ۲ چنین‌اند:</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tblGrid>
      <w:tr>
        <w:tc>
          <w:tcPr>
            <w:shd w:fill="E9EFF6"/>
          </w:tcPr>
          <w:p>
            <w:pPr>
              <w:bidi/>
              <w:jc w:val="right"/>
              <w:spacing w:after="110" w:line="330" w:lineRule="auto"/>
            </w:pPr>
            <w:r>
              <w:rPr>
                <w:b/>
                <w:sz w:val="18"/>
                <w:szCs w:val="18"/>
                <w:rFonts w:ascii="Arial" w:hAnsi="Arial" w:cs="Noto Naskh Arabic"/>
              </w:rPr>
              <w:t xml:space="preserve">گروه</w:t>
            </w:r>
          </w:p>
        </w:tc>
        <w:tc>
          <w:tcPr>
            <w:shd w:fill="E9EFF6"/>
          </w:tcPr>
          <w:p>
            <w:pPr>
              <w:bidi/>
              <w:jc w:val="right"/>
              <w:spacing w:after="110" w:line="330" w:lineRule="auto"/>
            </w:pPr>
            <w:r>
              <w:rPr>
                <w:b/>
                <w:sz w:val="18"/>
                <w:szCs w:val="18"/>
                <w:rFonts w:ascii="Arial" w:hAnsi="Arial" w:cs="Noto Naskh Arabic"/>
              </w:rPr>
              <w:t xml:space="preserve">تغییر خط پایه تا سه‌ماه</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−7.59</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−8.97</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+0.62</w:t>
            </w:r>
          </w:p>
        </w:tc>
      </w:tr>
    </w:tbl>
    <w:p>
      <w:pPr>
        <w:bidi/>
        <w:jc w:val="right"/>
        <w:spacing w:after="110" w:line="330" w:lineRule="auto"/>
      </w:pPr>
      <w:r>
        <w:rPr>
          <w:sz w:val="22"/>
          <w:szCs w:val="22"/>
          <w:rFonts w:ascii="Arial" w:hAnsi="Arial" w:cs="Noto Naskh Arabic"/>
        </w:rPr>
        <w:t xml:space="preserve">بنابراین اختلاف توصیفی تغییرها:</w:t>
      </w:r>
    </w:p>
    <w:p>
      <w:pPr>
        <w:bidi/>
        <w:jc w:val="right"/>
        <w:spacing w:after="110" w:line="330" w:lineRule="auto"/>
      </w:pPr>
      <w:r>
        <w:rPr>
          <w:sz w:val="22"/>
          <w:szCs w:val="22"/>
          <w:rFonts w:ascii="Arial" w:hAnsi="Arial" w:cs="Noto Naskh Arabic"/>
        </w:rPr>
        <w:t xml:space="preserve">• Supraorbital در برابر sham: −8.21</w:t>
      </w:r>
    </w:p>
    <w:p>
      <w:pPr>
        <w:bidi/>
        <w:jc w:val="right"/>
        <w:spacing w:after="110" w:line="330" w:lineRule="auto"/>
      </w:pPr>
      <w:r>
        <w:rPr>
          <w:sz w:val="22"/>
          <w:szCs w:val="22"/>
          <w:rFonts w:ascii="Arial" w:hAnsi="Arial" w:cs="Noto Naskh Arabic"/>
        </w:rPr>
        <w:t xml:space="preserve">• Infraorbital در برابر sham: −9.59</w:t>
      </w:r>
    </w:p>
    <w:p>
      <w:pPr>
        <w:bidi/>
        <w:jc w:val="right"/>
        <w:spacing w:after="110" w:line="330" w:lineRule="auto"/>
      </w:pPr>
      <w:r>
        <w:rPr>
          <w:sz w:val="22"/>
          <w:szCs w:val="22"/>
          <w:rFonts w:ascii="Arial" w:hAnsi="Arial" w:cs="Noto Naskh Arabic"/>
        </w:rPr>
        <w:t xml:space="preserve">همچنین ۵۴ فرد کنارگذاشته‌شده پیش از تصادفی‌سازی، عضو جمعیت کارآزمایی نبوده‌اند. افزودن همه آنان به بازوی sham تصادفی‌سازی را از بین می‌برد و سوگیری انتخاب/قابلیت تعمیم را اصلاح نمی‌کند.</w:t>
      </w:r>
    </w:p>
    <w:p>
      <w:pPr>
        <w:bidi/>
        <w:jc w:val="right"/>
        <w:spacing w:after="110" w:line="330" w:lineRule="auto"/>
      </w:pPr>
      <w:r>
        <w:rPr>
          <w:sz w:val="22"/>
          <w:szCs w:val="22"/>
          <w:rFonts w:ascii="Arial" w:hAnsi="Arial" w:cs="Noto Naskh Arabic"/>
        </w:rPr>
        <w:t xml:space="preserve">سناریوی «بدتر شدن sham» نیز برخلاف ادعای مقاله، اختلاف درمان را به سمت صفر نمی‌برد؛ sham را بدتر و اثر ظاهری درمان را بزرگ‌تر می‌کند.</w:t>
      </w:r>
    </w:p>
    <w:p>
      <w:pPr>
        <w:bidi/>
        <w:jc w:val="right"/>
        <w:spacing w:after="110" w:line="330" w:lineRule="auto"/>
      </w:pPr>
      <w:r>
        <w:rPr>
          <w:sz w:val="22"/>
          <w:szCs w:val="22"/>
          <w:rFonts w:ascii="Arial" w:hAnsi="Arial" w:cs="Noto Naskh Arabic"/>
        </w:rPr>
        <w:t xml:space="preserve">اصلاح انجام‌شده در نسخه پیشنهادی: حذف کامل جدول ۸ و همه ادعاهای «robustness» ناشی از آن. کنارگذاری ۵۴ فرد فقط به عنوان محدودیت قابلیت تعمیم گزارش شده است.</w:t>
      </w:r>
    </w:p>
    <w:p>
      <w:pPr>
        <w:bidi/>
        <w:jc w:val="right"/>
        <w:spacing w:after="110" w:line="330" w:lineRule="auto"/>
      </w:pPr>
      <w:r>
        <w:rPr>
          <w:sz w:val="18"/>
          <w:szCs w:val="18"/>
          <w:rFonts w:ascii="Arial" w:hAnsi="Arial" w:cs="Noto Naskh Arabic"/>
        </w:rPr>
        <w:t xml:space="preserve">────────────────────────</w:t>
      </w:r>
    </w:p>
    <w:p>
      <w:pPr>
        <w:pStyle w:val="Heading2"/>
        <w:bidi/>
        <w:jc w:val="right"/>
        <w:spacing w:after="110" w:line="330" w:lineRule="auto"/>
        <w:keepNext/>
      </w:pPr>
      <w:r>
        <w:rPr>
          <w:b/>
          <w:sz w:val="24"/>
          <w:szCs w:val="24"/>
          <w:rFonts w:ascii="Arial" w:hAnsi="Arial" w:cs="Noto Naskh Arabic"/>
        </w:rPr>
        <w:t xml:space="preserve">ایرادات عمده روش‌شناختی و آماری</w:t>
      </w:r>
    </w:p>
    <w:p>
      <w:pPr>
        <w:pStyle w:val="Heading3"/>
        <w:bidi/>
        <w:jc w:val="right"/>
        <w:spacing w:after="110" w:line="330" w:lineRule="auto"/>
        <w:keepNext/>
      </w:pPr>
      <w:r>
        <w:rPr>
          <w:b/>
          <w:sz w:val="20"/>
          <w:szCs w:val="20"/>
          <w:rFonts w:ascii="Arial" w:hAnsi="Arial" w:cs="Noto Naskh Arabic"/>
        </w:rPr>
        <w:t xml:space="preserve">۴. estimand و مقایسه اصلی مشخص نیست</w:t>
      </w:r>
    </w:p>
    <w:p>
      <w:pPr>
        <w:bidi/>
        <w:jc w:val="right"/>
        <w:spacing w:after="110" w:line="330" w:lineRule="auto"/>
      </w:pPr>
      <w:r>
        <w:rPr>
          <w:sz w:val="22"/>
          <w:szCs w:val="22"/>
          <w:rFonts w:ascii="Arial" w:hAnsi="Arial" w:cs="Noto Naskh Arabic"/>
        </w:rPr>
        <w:t xml:space="preserve">روشن نیست آزمون اصلی کدام است:</w:t>
      </w:r>
    </w:p>
    <w:p>
      <w:pPr>
        <w:bidi/>
        <w:jc w:val="right"/>
        <w:spacing w:after="110" w:line="330" w:lineRule="auto"/>
      </w:pPr>
      <w:r>
        <w:rPr>
          <w:sz w:val="22"/>
          <w:szCs w:val="22"/>
          <w:rFonts w:ascii="Arial" w:hAnsi="Arial" w:cs="Noto Naskh Arabic"/>
        </w:rPr>
        <w:t xml:space="preserve">• آزمون کلی سه‌گروهی؛</w:t>
      </w:r>
    </w:p>
    <w:p>
      <w:pPr>
        <w:bidi/>
        <w:jc w:val="right"/>
        <w:spacing w:after="110" w:line="330" w:lineRule="auto"/>
      </w:pPr>
      <w:r>
        <w:rPr>
          <w:sz w:val="22"/>
          <w:szCs w:val="22"/>
          <w:rFonts w:ascii="Arial" w:hAnsi="Arial" w:cs="Noto Naskh Arabic"/>
        </w:rPr>
        <w:t xml:space="preserve">• Supraorbital در برابر sham؛</w:t>
      </w:r>
    </w:p>
    <w:p>
      <w:pPr>
        <w:bidi/>
        <w:jc w:val="right"/>
        <w:spacing w:after="110" w:line="330" w:lineRule="auto"/>
      </w:pPr>
      <w:r>
        <w:rPr>
          <w:sz w:val="22"/>
          <w:szCs w:val="22"/>
          <w:rFonts w:ascii="Arial" w:hAnsi="Arial" w:cs="Noto Naskh Arabic"/>
        </w:rPr>
        <w:t xml:space="preserve">• Infraorbital در برابر sham؛</w:t>
      </w:r>
    </w:p>
    <w:p>
      <w:pPr>
        <w:bidi/>
        <w:jc w:val="right"/>
        <w:spacing w:after="110" w:line="330" w:lineRule="auto"/>
      </w:pPr>
      <w:r>
        <w:rPr>
          <w:sz w:val="22"/>
          <w:szCs w:val="22"/>
          <w:rFonts w:ascii="Arial" w:hAnsi="Arial" w:cs="Noto Naskh Arabic"/>
        </w:rPr>
        <w:t xml:space="preserve">• تجمیع دو بازوی فعال در برابر sham؛</w:t>
      </w:r>
    </w:p>
    <w:p>
      <w:pPr>
        <w:bidi/>
        <w:jc w:val="right"/>
        <w:spacing w:after="110" w:line="330" w:lineRule="auto"/>
      </w:pPr>
      <w:r>
        <w:rPr>
          <w:sz w:val="22"/>
          <w:szCs w:val="22"/>
          <w:rFonts w:ascii="Arial" w:hAnsi="Arial" w:cs="Noto Naskh Arabic"/>
        </w:rPr>
        <w:t xml:space="preserve">• یا مقایسه دو محل فعال.</w:t>
      </w:r>
    </w:p>
    <w:p>
      <w:pPr>
        <w:bidi/>
        <w:jc w:val="right"/>
        <w:spacing w:after="110" w:line="330" w:lineRule="auto"/>
      </w:pPr>
      <w:r>
        <w:rPr>
          <w:sz w:val="22"/>
          <w:szCs w:val="22"/>
          <w:rFonts w:ascii="Arial" w:hAnsi="Arial" w:cs="Noto Naskh Arabic"/>
        </w:rPr>
        <w:t xml:space="preserve">عبارت مفرد «primary between-group contrast» با چند مقایسه گزارش‌شده سازگار نیست.</w:t>
      </w:r>
    </w:p>
    <w:p>
      <w:pPr>
        <w:bidi/>
        <w:jc w:val="right"/>
        <w:spacing w:after="110" w:line="330" w:lineRule="auto"/>
      </w:pPr>
      <w:r>
        <w:rPr>
          <w:sz w:val="22"/>
          <w:szCs w:val="22"/>
          <w:rFonts w:ascii="Arial" w:hAnsi="Arial" w:cs="Noto Naskh Arabic"/>
        </w:rPr>
        <w:t xml:space="preserve">اصلاح: در SAP و مقاله، جمعیت هدف، متغیر پیامد، زمان ارزیابی، نحوه برخورد با داروی حاد و دو مقایسه فعال–sham دقیقاً تعریف شوند. برای دو مقایسه اصلی از Dunnett یا Holm استفاده شود. مقایسه فعال–فعال تا زمانی که مطالعه برای آن توان کافی ندارد، اکتشافی است.</w:t>
      </w:r>
    </w:p>
    <w:p>
      <w:pPr>
        <w:pStyle w:val="Heading3"/>
        <w:bidi/>
        <w:jc w:val="right"/>
        <w:spacing w:after="110" w:line="330" w:lineRule="auto"/>
        <w:keepNext/>
      </w:pPr>
      <w:r>
        <w:rPr>
          <w:b/>
          <w:sz w:val="20"/>
          <w:szCs w:val="20"/>
          <w:rFonts w:ascii="Arial" w:hAnsi="Arial" w:cs="Noto Naskh Arabic"/>
        </w:rPr>
        <w:t xml:space="preserve">۵. آزمون‌های درون‌گروهی اثربخشی را ثابت نمی‌کنند</w:t>
      </w:r>
    </w:p>
    <w:p>
      <w:pPr>
        <w:bidi/>
        <w:jc w:val="right"/>
        <w:spacing w:after="110" w:line="330" w:lineRule="auto"/>
      </w:pPr>
      <w:r>
        <w:rPr>
          <w:sz w:val="22"/>
          <w:szCs w:val="22"/>
          <w:rFonts w:ascii="Arial" w:hAnsi="Arial" w:cs="Noto Naskh Arabic"/>
        </w:rPr>
        <w:t xml:space="preserve">Friedman جداگانه در هر گروه فقط می‌گوید حداقل یکی از سه توزیع زمانی متفاوت است. «معناداری در گروه فعال و عدم معناداری در sham» به معنی تفاوت معنادار میان گروه‌ها نیست.</w:t>
      </w:r>
    </w:p>
    <w:p>
      <w:pPr>
        <w:bidi/>
        <w:jc w:val="right"/>
        <w:spacing w:after="110" w:line="330" w:lineRule="auto"/>
      </w:pPr>
      <w:r>
        <w:rPr>
          <w:sz w:val="22"/>
          <w:szCs w:val="22"/>
          <w:rFonts w:ascii="Arial" w:hAnsi="Arial" w:cs="Noto Naskh Arabic"/>
        </w:rPr>
        <w:t xml:space="preserve">بازتحلیل لازم با داده فردی:</w:t>
      </w:r>
    </w:p>
    <w:p>
      <w:pPr>
        <w:bidi/>
        <w:jc w:val="right"/>
        <w:spacing w:after="110" w:line="330" w:lineRule="auto"/>
      </w:pPr>
      <w:r>
        <w:rPr>
          <w:sz w:val="22"/>
          <w:szCs w:val="22"/>
          <w:rFonts w:ascii="Arial" w:hAnsi="Arial" w:cs="Noto Naskh Arabic"/>
        </w:rPr>
        <w:t xml:space="preserve">• برای تعداد حملات: رگرسیون binomial منفی با offset مناسب یا مدل طولی شمارشی، با تعدیل خط پایه؛</w:t>
      </w:r>
    </w:p>
    <w:p>
      <w:pPr>
        <w:bidi/>
        <w:jc w:val="right"/>
        <w:spacing w:after="110" w:line="330" w:lineRule="auto"/>
      </w:pPr>
      <w:r>
        <w:rPr>
          <w:sz w:val="22"/>
          <w:szCs w:val="22"/>
          <w:rFonts w:ascii="Arial" w:hAnsi="Arial" w:cs="Noto Naskh Arabic"/>
        </w:rPr>
        <w:t xml:space="preserve">• برای پیامدهای پیوسته: ANCOVA سه‌ماهه با تعدیل خط پایه یا mixed model/GEE شامل گروه، زمان و برهم‌کنش گروه×زمان؛</w:t>
      </w:r>
    </w:p>
    <w:p>
      <w:pPr>
        <w:bidi/>
        <w:jc w:val="right"/>
        <w:spacing w:after="110" w:line="330" w:lineRule="auto"/>
      </w:pPr>
      <w:r>
        <w:rPr>
          <w:sz w:val="22"/>
          <w:szCs w:val="22"/>
          <w:rFonts w:ascii="Arial" w:hAnsi="Arial" w:cs="Noto Naskh Arabic"/>
        </w:rPr>
        <w:t xml:space="preserve">• گزارش برآورد اثر، CI 95% و p تعدیل‌شده؛</w:t>
      </w:r>
    </w:p>
    <w:p>
      <w:pPr>
        <w:bidi/>
        <w:jc w:val="right"/>
        <w:spacing w:after="110" w:line="330" w:lineRule="auto"/>
      </w:pPr>
      <w:r>
        <w:rPr>
          <w:sz w:val="22"/>
          <w:szCs w:val="22"/>
          <w:rFonts w:ascii="Arial" w:hAnsi="Arial" w:cs="Noto Naskh Arabic"/>
        </w:rPr>
        <w:t xml:space="preserve">• بررسی مفروضات، overdispersion، داده پرت و تحلیل باقیمانده‌ها.</w:t>
      </w:r>
    </w:p>
    <w:p>
      <w:pPr>
        <w:pStyle w:val="Heading3"/>
        <w:bidi/>
        <w:jc w:val="right"/>
        <w:spacing w:after="110" w:line="330" w:lineRule="auto"/>
        <w:keepNext/>
      </w:pPr>
      <w:r>
        <w:rPr>
          <w:b/>
          <w:sz w:val="20"/>
          <w:szCs w:val="20"/>
          <w:rFonts w:ascii="Arial" w:hAnsi="Arial" w:cs="Noto Naskh Arabic"/>
        </w:rPr>
        <w:t xml:space="preserve">۶. اختلاف خط پایه پیامد اصلی نادیده گرفته شده است</w:t>
      </w:r>
    </w:p>
    <w:p>
      <w:pPr>
        <w:bidi/>
        <w:jc w:val="right"/>
        <w:spacing w:after="110" w:line="330" w:lineRule="auto"/>
      </w:pPr>
      <w:r>
        <w:rPr>
          <w:sz w:val="22"/>
          <w:szCs w:val="22"/>
          <w:rFonts w:ascii="Arial" w:hAnsi="Arial" w:cs="Noto Naskh Arabic"/>
        </w:rPr>
        <w:t xml:space="preserve">میانگین حملات خط پایه در sham برابر ۱۲٫۳۲ و در بازوهای فعال ۱۴٫۱۸ و ۱۵٫۱۳ است. مقایسه صرف مقادیر سه‌ماهه این عدم توازن را نادیده می‌گیرد و دقت تحلیل را کاهش می‌دهد.</w:t>
      </w:r>
    </w:p>
    <w:p>
      <w:pPr>
        <w:bidi/>
        <w:jc w:val="right"/>
        <w:spacing w:after="110" w:line="330" w:lineRule="auto"/>
      </w:pPr>
      <w:r>
        <w:rPr>
          <w:sz w:val="22"/>
          <w:szCs w:val="22"/>
          <w:rFonts w:ascii="Arial" w:hAnsi="Arial" w:cs="Noto Naskh Arabic"/>
        </w:rPr>
        <w:t xml:space="preserve">اصلاح: تحلیل اصلی باید baseline-adjusted باشد. اختلاف‌های خام انتهای مطالعه فقط می‌توانند توصیفی باشند.</w:t>
      </w:r>
    </w:p>
    <w:p>
      <w:pPr>
        <w:pStyle w:val="Heading3"/>
        <w:bidi/>
        <w:jc w:val="right"/>
        <w:spacing w:after="110" w:line="330" w:lineRule="auto"/>
        <w:keepNext/>
      </w:pPr>
      <w:r>
        <w:rPr>
          <w:b/>
          <w:sz w:val="20"/>
          <w:szCs w:val="20"/>
          <w:rFonts w:ascii="Arial" w:hAnsi="Arial" w:cs="Noto Naskh Arabic"/>
        </w:rPr>
        <w:t xml:space="preserve">۷. CIهای جدول ۷ به روش اعلام‌شده محاسبه نشده‌اند</w:t>
      </w:r>
    </w:p>
    <w:p>
      <w:pPr>
        <w:bidi/>
        <w:jc w:val="right"/>
        <w:spacing w:after="110" w:line="330" w:lineRule="auto"/>
      </w:pPr>
      <w:r>
        <w:rPr>
          <w:sz w:val="22"/>
          <w:szCs w:val="22"/>
          <w:rFonts w:ascii="Arial" w:hAnsi="Arial" w:cs="Noto Naskh Arabic"/>
        </w:rPr>
        <w:t xml:space="preserve">فواصل جدول با 1.96 × SE محاسبه شده‌اند، نه critical value توزیع t با درجات آزادی Welch–Satterthwaite. علاوه بر آن، CI میانگین با آزمون رتبه‌ای Mann–Whitney هم‌راستا نیست.</w:t>
      </w:r>
    </w:p>
    <w:p>
      <w:pPr>
        <w:bidi/>
        <w:jc w:val="right"/>
        <w:spacing w:after="110" w:line="330" w:lineRule="auto"/>
      </w:pPr>
      <w:r>
        <w:rPr>
          <w:sz w:val="22"/>
          <w:szCs w:val="22"/>
          <w:rFonts w:ascii="Arial" w:hAnsi="Arial" w:cs="Noto Naskh Arabic"/>
        </w:rPr>
        <w:t xml:space="preserve">CIهای تقریبی اصلاح‌شده Welch برای داده‌های تجمیعی:</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bidi/>
              <w:jc w:val="right"/>
              <w:spacing w:after="110" w:line="330" w:lineRule="auto"/>
            </w:pPr>
            <w:r>
              <w:rPr>
                <w:b/>
                <w:sz w:val="18"/>
                <w:szCs w:val="18"/>
                <w:rFonts w:ascii="Arial" w:hAnsi="Arial" w:cs="Noto Naskh Arabic"/>
              </w:rPr>
              <w:t xml:space="preserve">پیامد</w:t>
            </w:r>
          </w:p>
        </w:tc>
        <w:tc>
          <w:tcPr>
            <w:shd w:fill="E9EFF6"/>
          </w:tcPr>
          <w:p>
            <w:pPr>
              <w:jc w:val="left"/>
              <w:spacing w:after="110" w:line="330" w:lineRule="auto"/>
            </w:pPr>
            <w:r>
              <w:rPr>
                <w:b/>
                <w:sz w:val="18"/>
                <w:szCs w:val="18"/>
                <w:rFonts w:ascii="Arial" w:hAnsi="Arial" w:cs="Noto Naskh Arabic"/>
              </w:rPr>
              <w:t xml:space="preserve">Supra–Sham</w:t>
            </w:r>
          </w:p>
        </w:tc>
        <w:tc>
          <w:tcPr>
            <w:shd w:fill="E9EFF6"/>
          </w:tcPr>
          <w:p>
            <w:pPr>
              <w:jc w:val="left"/>
              <w:spacing w:after="110" w:line="330" w:lineRule="auto"/>
            </w:pPr>
            <w:r>
              <w:rPr>
                <w:b/>
                <w:sz w:val="18"/>
                <w:szCs w:val="18"/>
                <w:rFonts w:ascii="Arial" w:hAnsi="Arial" w:cs="Noto Naskh Arabic"/>
              </w:rPr>
              <w:t xml:space="preserve">Infra–Sham</w:t>
            </w:r>
          </w:p>
        </w:tc>
        <w:tc>
          <w:tcPr>
            <w:shd w:fill="E9EFF6"/>
          </w:tcPr>
          <w:p>
            <w:pPr>
              <w:jc w:val="left"/>
              <w:spacing w:after="110" w:line="330" w:lineRule="auto"/>
            </w:pPr>
            <w:r>
              <w:rPr>
                <w:b/>
                <w:sz w:val="18"/>
                <w:szCs w:val="18"/>
                <w:rFonts w:ascii="Arial" w:hAnsi="Arial" w:cs="Noto Naskh Arabic"/>
              </w:rPr>
              <w:t xml:space="preserve">Supra–Infra</w:t>
            </w:r>
          </w:p>
        </w:tc>
      </w:tr>
      <w:tr>
        <w:tc>
          <w:tcPr/>
          <w:p>
            <w:pPr>
              <w:bidi/>
              <w:jc w:val="right"/>
              <w:spacing w:after="110" w:line="330" w:lineRule="auto"/>
            </w:pPr>
            <w:r>
              <w:rPr>
                <w:sz w:val="18"/>
                <w:szCs w:val="18"/>
                <w:rFonts w:ascii="Arial" w:hAnsi="Arial" w:cs="Noto Naskh Arabic"/>
              </w:rPr>
              <w:t xml:space="preserve">حمله در ماه</w:t>
            </w:r>
          </w:p>
        </w:tc>
        <w:tc>
          <w:tcPr/>
          <w:p>
            <w:pPr>
              <w:jc w:val="left"/>
              <w:spacing w:after="110" w:line="330" w:lineRule="auto"/>
            </w:pPr>
            <w:r>
              <w:rPr>
                <w:sz w:val="18"/>
                <w:szCs w:val="18"/>
                <w:rFonts w:ascii="Arial" w:hAnsi="Arial" w:cs="Noto Naskh Arabic"/>
              </w:rPr>
              <w:t xml:space="preserve">−6.35 [−8.52, −4.18]</w:t>
            </w:r>
          </w:p>
        </w:tc>
        <w:tc>
          <w:tcPr/>
          <w:p>
            <w:pPr>
              <w:jc w:val="left"/>
              <w:spacing w:after="110" w:line="330" w:lineRule="auto"/>
            </w:pPr>
            <w:r>
              <w:rPr>
                <w:sz w:val="18"/>
                <w:szCs w:val="18"/>
                <w:rFonts w:ascii="Arial" w:hAnsi="Arial" w:cs="Noto Naskh Arabic"/>
              </w:rPr>
              <w:t xml:space="preserve">−6.78 [−8.92, −4.64]</w:t>
            </w:r>
          </w:p>
        </w:tc>
        <w:tc>
          <w:tcPr/>
          <w:p>
            <w:pPr>
              <w:jc w:val="left"/>
              <w:spacing w:after="110" w:line="330" w:lineRule="auto"/>
            </w:pPr>
            <w:r>
              <w:rPr>
                <w:sz w:val="18"/>
                <w:szCs w:val="18"/>
                <w:rFonts w:ascii="Arial" w:hAnsi="Arial" w:cs="Noto Naskh Arabic"/>
              </w:rPr>
              <w:t xml:space="preserve">0.43 [−0.97, 1.83]</w:t>
            </w:r>
          </w:p>
        </w:tc>
      </w:tr>
      <w:tr>
        <w:tc>
          <w:tcPr/>
          <w:p>
            <w:pPr>
              <w:jc w:val="left"/>
              <w:spacing w:after="110" w:line="330" w:lineRule="auto"/>
            </w:pPr>
            <w:r>
              <w:rPr>
                <w:sz w:val="18"/>
                <w:szCs w:val="18"/>
                <w:rFonts w:ascii="Arial" w:hAnsi="Arial" w:cs="Noto Naskh Arabic"/>
              </w:rPr>
              <w:t xml:space="preserve">VAS</w:t>
            </w:r>
          </w:p>
        </w:tc>
        <w:tc>
          <w:tcPr/>
          <w:p>
            <w:pPr>
              <w:jc w:val="left"/>
              <w:spacing w:after="110" w:line="330" w:lineRule="auto"/>
            </w:pPr>
            <w:r>
              <w:rPr>
                <w:sz w:val="18"/>
                <w:szCs w:val="18"/>
                <w:rFonts w:ascii="Arial" w:hAnsi="Arial" w:cs="Noto Naskh Arabic"/>
              </w:rPr>
              <w:t xml:space="preserve">−2.61 [−3.14, −2.08]</w:t>
            </w:r>
          </w:p>
        </w:tc>
        <w:tc>
          <w:tcPr/>
          <w:p>
            <w:pPr>
              <w:jc w:val="left"/>
              <w:spacing w:after="110" w:line="330" w:lineRule="auto"/>
            </w:pPr>
            <w:r>
              <w:rPr>
                <w:sz w:val="18"/>
                <w:szCs w:val="18"/>
                <w:rFonts w:ascii="Arial" w:hAnsi="Arial" w:cs="Noto Naskh Arabic"/>
              </w:rPr>
              <w:t xml:space="preserve">−2.63 [−3.27, −1.99]</w:t>
            </w:r>
          </w:p>
        </w:tc>
        <w:tc>
          <w:tcPr/>
          <w:p>
            <w:pPr>
              <w:jc w:val="left"/>
              <w:spacing w:after="110" w:line="330" w:lineRule="auto"/>
            </w:pPr>
            <w:r>
              <w:rPr>
                <w:sz w:val="18"/>
                <w:szCs w:val="18"/>
                <w:rFonts w:ascii="Arial" w:hAnsi="Arial" w:cs="Noto Naskh Arabic"/>
              </w:rPr>
              <w:t xml:space="preserve">0.02 [−0.61, 0.65]</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−6.20 [−8.57, −3.83]</w:t>
            </w:r>
          </w:p>
        </w:tc>
        <w:tc>
          <w:tcPr/>
          <w:p>
            <w:pPr>
              <w:jc w:val="left"/>
              <w:spacing w:after="110" w:line="330" w:lineRule="auto"/>
            </w:pPr>
            <w:r>
              <w:rPr>
                <w:sz w:val="18"/>
                <w:szCs w:val="18"/>
                <w:rFonts w:ascii="Arial" w:hAnsi="Arial" w:cs="Noto Naskh Arabic"/>
              </w:rPr>
              <w:t xml:space="preserve">−5.66 [−7.88, −3.44]</w:t>
            </w:r>
          </w:p>
        </w:tc>
        <w:tc>
          <w:tcPr/>
          <w:p>
            <w:pPr>
              <w:jc w:val="left"/>
              <w:spacing w:after="110" w:line="330" w:lineRule="auto"/>
            </w:pPr>
            <w:r>
              <w:rPr>
                <w:sz w:val="18"/>
                <w:szCs w:val="18"/>
                <w:rFonts w:ascii="Arial" w:hAnsi="Arial" w:cs="Noto Naskh Arabic"/>
              </w:rPr>
              <w:t xml:space="preserve">−0.54 [−1.97, 0.89]</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−12.70 [−15.11, −10.29]</w:t>
            </w:r>
          </w:p>
        </w:tc>
        <w:tc>
          <w:tcPr/>
          <w:p>
            <w:pPr>
              <w:jc w:val="left"/>
              <w:spacing w:after="110" w:line="330" w:lineRule="auto"/>
            </w:pPr>
            <w:r>
              <w:rPr>
                <w:sz w:val="18"/>
                <w:szCs w:val="18"/>
                <w:rFonts w:ascii="Arial" w:hAnsi="Arial" w:cs="Noto Naskh Arabic"/>
              </w:rPr>
              <w:t xml:space="preserve">−10.78 [−12.73, −8.83]</w:t>
            </w:r>
          </w:p>
        </w:tc>
        <w:tc>
          <w:tcPr/>
          <w:p>
            <w:pPr>
              <w:jc w:val="left"/>
              <w:spacing w:after="110" w:line="330" w:lineRule="auto"/>
            </w:pPr>
            <w:r>
              <w:rPr>
                <w:sz w:val="18"/>
                <w:szCs w:val="18"/>
                <w:rFonts w:ascii="Arial" w:hAnsi="Arial" w:cs="Noto Naskh Arabic"/>
              </w:rPr>
              <w:t xml:space="preserve">−1.92 [−4.10, 0.26]</w:t>
            </w:r>
          </w:p>
        </w:tc>
      </w:tr>
      <w:tr>
        <w:tc>
          <w:tcPr/>
          <w:p>
            <w:pPr>
              <w:bidi/>
              <w:jc w:val="right"/>
              <w:spacing w:after="110" w:line="330" w:lineRule="auto"/>
            </w:pPr>
            <w:r>
              <w:rPr>
                <w:sz w:val="18"/>
                <w:szCs w:val="18"/>
                <w:rFonts w:ascii="Arial" w:hAnsi="Arial" w:cs="Noto Naskh Arabic"/>
              </w:rPr>
              <w:t xml:space="preserve">مصرف مسکن</w:t>
            </w:r>
          </w:p>
        </w:tc>
        <w:tc>
          <w:tcPr/>
          <w:p>
            <w:pPr>
              <w:jc w:val="left"/>
              <w:spacing w:after="110" w:line="330" w:lineRule="auto"/>
            </w:pPr>
            <w:r>
              <w:rPr>
                <w:sz w:val="18"/>
                <w:szCs w:val="18"/>
                <w:rFonts w:ascii="Arial" w:hAnsi="Arial" w:cs="Noto Naskh Arabic"/>
              </w:rPr>
              <w:t xml:space="preserve">−7.04 [−8.94, −5.14]</w:t>
            </w:r>
          </w:p>
        </w:tc>
        <w:tc>
          <w:tcPr/>
          <w:p>
            <w:pPr>
              <w:jc w:val="left"/>
              <w:spacing w:after="110" w:line="330" w:lineRule="auto"/>
            </w:pPr>
            <w:r>
              <w:rPr>
                <w:sz w:val="18"/>
                <w:szCs w:val="18"/>
                <w:rFonts w:ascii="Arial" w:hAnsi="Arial" w:cs="Noto Naskh Arabic"/>
              </w:rPr>
              <w:t xml:space="preserve">−6.41 [−8.31, −4.51]</w:t>
            </w:r>
          </w:p>
        </w:tc>
        <w:tc>
          <w:tcPr/>
          <w:p>
            <w:pPr>
              <w:jc w:val="left"/>
              <w:spacing w:after="110" w:line="330" w:lineRule="auto"/>
            </w:pPr>
            <w:r>
              <w:rPr>
                <w:sz w:val="18"/>
                <w:szCs w:val="18"/>
                <w:rFonts w:ascii="Arial" w:hAnsi="Arial" w:cs="Noto Naskh Arabic"/>
              </w:rPr>
              <w:t xml:space="preserve">−0.63 [−2.03, 0.77]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−7.39 [−9.90, −4.88]</w:t>
            </w:r>
          </w:p>
        </w:tc>
        <w:tc>
          <w:tcPr/>
          <w:p>
            <w:pPr>
              <w:jc w:val="left"/>
              <w:spacing w:after="110" w:line="330" w:lineRule="auto"/>
            </w:pPr>
            <w:r>
              <w:rPr>
                <w:sz w:val="18"/>
                <w:szCs w:val="18"/>
                <w:rFonts w:ascii="Arial" w:hAnsi="Arial" w:cs="Noto Naskh Arabic"/>
              </w:rPr>
              <w:t xml:space="preserve">−9.29 [−11.91, −6.67]</w:t>
            </w:r>
          </w:p>
        </w:tc>
        <w:tc>
          <w:tcPr/>
          <w:p>
            <w:pPr>
              <w:jc w:val="left"/>
              <w:spacing w:after="110" w:line="330" w:lineRule="auto"/>
            </w:pPr>
            <w:r>
              <w:rPr>
                <w:sz w:val="18"/>
                <w:szCs w:val="18"/>
                <w:rFonts w:ascii="Arial" w:hAnsi="Arial" w:cs="Noto Naskh Arabic"/>
              </w:rPr>
              <w:t xml:space="preserve">1.90 [−0.92, 4.72]</w:t>
            </w:r>
          </w:p>
        </w:tc>
      </w:tr>
    </w:tbl>
    <w:p>
      <w:pPr>
        <w:bidi/>
        <w:jc w:val="right"/>
        <w:spacing w:after="110" w:line="330" w:lineRule="auto"/>
      </w:pPr>
      <w:r>
        <w:rPr>
          <w:sz w:val="22"/>
          <w:szCs w:val="22"/>
          <w:rFonts w:ascii="Arial" w:hAnsi="Arial" w:cs="Noto Naskh Arabic"/>
        </w:rPr>
        <w:t xml:space="preserve">این CIها جایگزین تحلیل صحیح داده فردی نیستند و فقط اصلاح محاسبه تجمیعی‌اند.</w:t>
      </w:r>
    </w:p>
    <w:p>
      <w:pPr>
        <w:pStyle w:val="Heading3"/>
        <w:bidi/>
        <w:jc w:val="right"/>
        <w:spacing w:after="110" w:line="330" w:lineRule="auto"/>
        <w:keepNext/>
      </w:pPr>
      <w:r>
        <w:rPr>
          <w:b/>
          <w:sz w:val="20"/>
          <w:szCs w:val="20"/>
          <w:rFonts w:ascii="Arial" w:hAnsi="Arial" w:cs="Noto Naskh Arabic"/>
        </w:rPr>
        <w:t xml:space="preserve">۸. منطق حجم نمونه پسینی و بخشی از محاسبه نادرست است</w:t>
      </w:r>
    </w:p>
    <w:p>
      <w:pPr>
        <w:bidi/>
        <w:jc w:val="right"/>
        <w:spacing w:after="110" w:line="330" w:lineRule="auto"/>
      </w:pPr>
      <w:r>
        <w:rPr>
          <w:sz w:val="22"/>
          <w:szCs w:val="22"/>
          <w:rFonts w:ascii="Arial" w:hAnsi="Arial" w:cs="Noto Naskh Arabic"/>
        </w:rPr>
        <w:t xml:space="preserve">محاسبه حجم نمونه پس از اتمام مطالعه نمی‌تواند طراحی را توجیه کند. با SD=4.5، اختلاف ۳، α دوطرفه ۰٫۰۵ و توان ۸۰٪، تقریب ساده حدود ۳۶ فرد قابل تحلیل در هر گروه می‌دهد، نه ۳۵. برای ۲۰٪ ریزش باید بر 0.8 تقسیم کرد؛ تقریباً ۴۴ نفر در هر گروه، نه ۴۲.</w:t>
      </w:r>
    </w:p>
    <w:p>
      <w:pPr>
        <w:bidi/>
        <w:jc w:val="right"/>
        <w:spacing w:after="110" w:line="330" w:lineRule="auto"/>
      </w:pPr>
      <w:r>
        <w:rPr>
          <w:sz w:val="22"/>
          <w:szCs w:val="22"/>
          <w:rFonts w:ascii="Arial" w:hAnsi="Arial" w:cs="Noto Naskh Arabic"/>
        </w:rPr>
        <w:t xml:space="preserve">محاسبه همچنین:</w:t>
      </w:r>
    </w:p>
    <w:p>
      <w:pPr>
        <w:bidi/>
        <w:jc w:val="right"/>
        <w:spacing w:after="110" w:line="330" w:lineRule="auto"/>
      </w:pPr>
      <w:r>
        <w:rPr>
          <w:sz w:val="22"/>
          <w:szCs w:val="22"/>
          <w:rFonts w:ascii="Arial" w:hAnsi="Arial" w:cs="Noto Naskh Arabic"/>
        </w:rPr>
        <w:t xml:space="preserve">• دو مقایسه فعال–sham را لحاظ نکرده؛</w:t>
      </w:r>
    </w:p>
    <w:p>
      <w:pPr>
        <w:bidi/>
        <w:jc w:val="right"/>
        <w:spacing w:after="110" w:line="330" w:lineRule="auto"/>
      </w:pPr>
      <w:r>
        <w:rPr>
          <w:sz w:val="22"/>
          <w:szCs w:val="22"/>
          <w:rFonts w:ascii="Arial" w:hAnsi="Arial" w:cs="Noto Naskh Arabic"/>
        </w:rPr>
        <w:t xml:space="preserve">• با آزمون نهایی رتبه‌ای هم‌خوان نیست؛</w:t>
      </w:r>
    </w:p>
    <w:p>
      <w:pPr>
        <w:bidi/>
        <w:jc w:val="right"/>
        <w:spacing w:after="110" w:line="330" w:lineRule="auto"/>
      </w:pPr>
      <w:r>
        <w:rPr>
          <w:sz w:val="22"/>
          <w:szCs w:val="22"/>
          <w:rFonts w:ascii="Arial" w:hAnsi="Arial" w:cs="Noto Naskh Arabic"/>
        </w:rPr>
        <w:t xml:space="preserve">• MCID سه حمله را مستند نکرده؛</w:t>
      </w:r>
    </w:p>
    <w:p>
      <w:pPr>
        <w:bidi/>
        <w:jc w:val="right"/>
        <w:spacing w:after="110" w:line="330" w:lineRule="auto"/>
      </w:pPr>
      <w:r>
        <w:rPr>
          <w:sz w:val="22"/>
          <w:szCs w:val="22"/>
          <w:rFonts w:ascii="Arial" w:hAnsi="Arial" w:cs="Noto Naskh Arabic"/>
        </w:rPr>
        <w:t xml:space="preserve">• از PREMICE برای پیامدی متفاوت استنباط کرده است.</w:t>
      </w:r>
    </w:p>
    <w:p>
      <w:pPr>
        <w:bidi/>
        <w:jc w:val="right"/>
        <w:spacing w:after="110" w:line="330" w:lineRule="auto"/>
      </w:pPr>
      <w:r>
        <w:rPr>
          <w:sz w:val="22"/>
          <w:szCs w:val="22"/>
          <w:rFonts w:ascii="Arial" w:hAnsi="Arial" w:cs="Noto Naskh Arabic"/>
        </w:rPr>
        <w:t xml:space="preserve">اصلاح: محاسبه اصلی پروتکل عیناً گزارش شود. هر محاسبه جدید فقط «پسینی/اکتشافی» معرفی شود. عبارت «post-hoc power &gt;99%» حذف شود، زیرا اطلاعاتی بیش از p-value و CI نمی‌دهد.</w:t>
      </w:r>
    </w:p>
    <w:p>
      <w:pPr>
        <w:pStyle w:val="Heading3"/>
        <w:bidi/>
        <w:jc w:val="right"/>
        <w:spacing w:after="110" w:line="330" w:lineRule="auto"/>
        <w:keepNext/>
      </w:pPr>
      <w:r>
        <w:rPr>
          <w:b/>
          <w:sz w:val="20"/>
          <w:szCs w:val="20"/>
          <w:rFonts w:ascii="Arial" w:hAnsi="Arial" w:cs="Noto Naskh Arabic"/>
        </w:rPr>
        <w:t xml:space="preserve">۹. کنترل چندگانگی ناقص است</w:t>
      </w:r>
    </w:p>
    <w:p>
      <w:pPr>
        <w:bidi/>
        <w:jc w:val="right"/>
        <w:spacing w:after="110" w:line="330" w:lineRule="auto"/>
      </w:pPr>
      <w:r>
        <w:rPr>
          <w:sz w:val="22"/>
          <w:szCs w:val="22"/>
          <w:rFonts w:ascii="Arial" w:hAnsi="Arial" w:cs="Noto Naskh Arabic"/>
        </w:rPr>
        <w:t xml:space="preserve">Bonferroni برای پنج پیامد ثانویه، موارد زیر را پوشش نمی‌دهد:</w:t>
      </w:r>
    </w:p>
    <w:p>
      <w:pPr>
        <w:bidi/>
        <w:jc w:val="right"/>
        <w:spacing w:after="110" w:line="330" w:lineRule="auto"/>
      </w:pPr>
      <w:r>
        <w:rPr>
          <w:sz w:val="22"/>
          <w:szCs w:val="22"/>
          <w:rFonts w:ascii="Arial" w:hAnsi="Arial" w:cs="Noto Naskh Arabic"/>
        </w:rPr>
        <w:t xml:space="preserve">• دو مقایسه اصلی فعال–sham؛</w:t>
      </w:r>
    </w:p>
    <w:p>
      <w:pPr>
        <w:bidi/>
        <w:jc w:val="right"/>
        <w:spacing w:after="110" w:line="330" w:lineRule="auto"/>
      </w:pPr>
      <w:r>
        <w:rPr>
          <w:sz w:val="22"/>
          <w:szCs w:val="22"/>
          <w:rFonts w:ascii="Arial" w:hAnsi="Arial" w:cs="Noto Naskh Arabic"/>
        </w:rPr>
        <w:t xml:space="preserve">• مقایسه فعال–فعال؛</w:t>
      </w:r>
    </w:p>
    <w:p>
      <w:pPr>
        <w:bidi/>
        <w:jc w:val="right"/>
        <w:spacing w:after="110" w:line="330" w:lineRule="auto"/>
      </w:pPr>
      <w:r>
        <w:rPr>
          <w:sz w:val="22"/>
          <w:szCs w:val="22"/>
          <w:rFonts w:ascii="Arial" w:hAnsi="Arial" w:cs="Noto Naskh Arabic"/>
        </w:rPr>
        <w:t xml:space="preserve">• سه زمان؛</w:t>
      </w:r>
    </w:p>
    <w:p>
      <w:pPr>
        <w:bidi/>
        <w:jc w:val="right"/>
        <w:spacing w:after="110" w:line="330" w:lineRule="auto"/>
      </w:pPr>
      <w:r>
        <w:rPr>
          <w:sz w:val="22"/>
          <w:szCs w:val="22"/>
          <w:rFonts w:ascii="Arial" w:hAnsi="Arial" w:cs="Noto Naskh Arabic"/>
        </w:rPr>
        <w:t xml:space="preserve">• آزمون‌های درون‌گروهی؛</w:t>
      </w:r>
    </w:p>
    <w:p>
      <w:pPr>
        <w:bidi/>
        <w:jc w:val="right"/>
        <w:spacing w:after="110" w:line="330" w:lineRule="auto"/>
      </w:pPr>
      <w:r>
        <w:rPr>
          <w:sz w:val="22"/>
          <w:szCs w:val="22"/>
          <w:rFonts w:ascii="Arial" w:hAnsi="Arial" w:cs="Noto Naskh Arabic"/>
        </w:rPr>
        <w:t xml:space="preserve">• مقایسه‌های post-hoc؛</w:t>
      </w:r>
    </w:p>
    <w:p>
      <w:pPr>
        <w:bidi/>
        <w:jc w:val="right"/>
        <w:spacing w:after="110" w:line="330" w:lineRule="auto"/>
      </w:pPr>
      <w:r>
        <w:rPr>
          <w:sz w:val="22"/>
          <w:szCs w:val="22"/>
          <w:rFonts w:ascii="Arial" w:hAnsi="Arial" w:cs="Noto Naskh Arabic"/>
        </w:rPr>
        <w:t xml:space="preserve">• تحلیل‌های حساسیت و کورسازی.</w:t>
      </w:r>
    </w:p>
    <w:p>
      <w:pPr>
        <w:bidi/>
        <w:jc w:val="right"/>
        <w:spacing w:after="110" w:line="330" w:lineRule="auto"/>
      </w:pPr>
      <w:r>
        <w:rPr>
          <w:sz w:val="22"/>
          <w:szCs w:val="22"/>
          <w:rFonts w:ascii="Arial" w:hAnsi="Arial" w:cs="Noto Naskh Arabic"/>
        </w:rPr>
        <w:t xml:space="preserve">جمله «تمام pهای ثانویه &lt;0.001 بودند» نیز با pهای sham شامل ۰٫۱۲۵، ۰٫۱۷۴، ۰٫۳۶۴، ۰٫۰۶۶ و ۰٫۵۰۷ ناسازگار است.</w:t>
      </w:r>
    </w:p>
    <w:p>
      <w:pPr>
        <w:bidi/>
        <w:jc w:val="right"/>
        <w:spacing w:after="110" w:line="330" w:lineRule="auto"/>
      </w:pPr>
      <w:r>
        <w:rPr>
          <w:sz w:val="22"/>
          <w:szCs w:val="22"/>
          <w:rFonts w:ascii="Arial" w:hAnsi="Arial" w:cs="Noto Naskh Arabic"/>
        </w:rPr>
        <w:t xml:space="preserve">اصلاح: خانواده آزمون‌ها از پیش تعریف و روش Holm/Dunnett یا یک سلسله‌مراتب gatekeeping اعمال شود. تحلیل‌های جدید اکتشافی برچسب بخورند.</w:t>
      </w:r>
    </w:p>
    <w:p>
      <w:pPr>
        <w:pStyle w:val="Heading3"/>
        <w:bidi/>
        <w:jc w:val="right"/>
        <w:spacing w:after="110" w:line="330" w:lineRule="auto"/>
        <w:keepNext/>
      </w:pPr>
      <w:r>
        <w:rPr>
          <w:b/>
          <w:sz w:val="20"/>
          <w:szCs w:val="20"/>
          <w:rFonts w:ascii="Arial" w:hAnsi="Arial" w:cs="Noto Naskh Arabic"/>
        </w:rPr>
        <w:t xml:space="preserve">۱۰. برخی میانگین‌های شمارشی با تعریف یک‌ماهه سازگار نیستند</w:t>
      </w:r>
    </w:p>
    <w:p>
      <w:pPr>
        <w:bidi/>
        <w:jc w:val="right"/>
        <w:spacing w:after="110" w:line="330" w:lineRule="auto"/>
      </w:pPr>
      <w:r>
        <w:rPr>
          <w:sz w:val="22"/>
          <w:szCs w:val="22"/>
          <w:rFonts w:ascii="Arial" w:hAnsi="Arial" w:cs="Noto Naskh Arabic"/>
        </w:rPr>
        <w:t xml:space="preserve">اگر «تعداد حمله در یک ماه» عدد صحیح برای هر فرد باشد، میانگین گروه باید با یک مجموع صحیح سازگار باشد. برای مثال 6.59 × 28 = 184.52 و 15.13 × 27 = 408.51 مجموع صحیح نمی‌دهند.</w:t>
      </w:r>
    </w:p>
    <w:p>
      <w:pPr>
        <w:bidi/>
        <w:jc w:val="right"/>
        <w:spacing w:after="110" w:line="330" w:lineRule="auto"/>
      </w:pPr>
      <w:r>
        <w:rPr>
          <w:sz w:val="22"/>
          <w:szCs w:val="22"/>
          <w:rFonts w:ascii="Arial" w:hAnsi="Arial" w:cs="Noto Naskh Arabic"/>
        </w:rPr>
        <w:t xml:space="preserve">این مقادیر ممکن است نرخ استانداردشده یا متوسط چند ماه باشند، اما مقاله آنها را چنین تعریف نکرده است.</w:t>
      </w:r>
    </w:p>
    <w:p>
      <w:pPr>
        <w:bidi/>
        <w:jc w:val="right"/>
        <w:spacing w:after="110" w:line="330" w:lineRule="auto"/>
      </w:pPr>
      <w:r>
        <w:rPr>
          <w:sz w:val="22"/>
          <w:szCs w:val="22"/>
          <w:rFonts w:ascii="Arial" w:hAnsi="Arial" w:cs="Noto Naskh Arabic"/>
        </w:rPr>
        <w:t xml:space="preserve">اصلاح: پنجره دقیق، مخرج، نحوه annualize/standardize و الگوریتم استخراج از diary توضیح داده شود؛ داده خام با جدول‌ها تطبیق داده شود.</w:t>
      </w:r>
    </w:p>
    <w:p>
      <w:pPr>
        <w:pStyle w:val="Heading3"/>
        <w:bidi/>
        <w:jc w:val="right"/>
        <w:spacing w:after="110" w:line="330" w:lineRule="auto"/>
        <w:keepNext/>
      </w:pPr>
      <w:r>
        <w:rPr>
          <w:b/>
          <w:sz w:val="20"/>
          <w:szCs w:val="20"/>
          <w:rFonts w:ascii="Arial" w:hAnsi="Arial" w:cs="Noto Naskh Arabic"/>
        </w:rPr>
        <w:t xml:space="preserve">۱۱. p-valueهای خط پایه بازتولید نمی‌شوند</w:t>
      </w:r>
    </w:p>
    <w:p>
      <w:pPr>
        <w:bidi/>
        <w:jc w:val="right"/>
        <w:spacing w:after="110" w:line="330" w:lineRule="auto"/>
      </w:pPr>
      <w:r>
        <w:rPr>
          <w:sz w:val="22"/>
          <w:szCs w:val="22"/>
          <w:rFonts w:ascii="Arial" w:hAnsi="Arial" w:cs="Noto Naskh Arabic"/>
        </w:rPr>
        <w:t xml:space="preserve">از خلاصه جدول ۱:</w:t>
      </w:r>
    </w:p>
    <w:p>
      <w:pPr>
        <w:bidi/>
        <w:jc w:val="right"/>
        <w:spacing w:after="110" w:line="330" w:lineRule="auto"/>
      </w:pPr>
      <w:r>
        <w:rPr>
          <w:sz w:val="22"/>
          <w:szCs w:val="22"/>
          <w:rFonts w:ascii="Arial" w:hAnsi="Arial" w:cs="Noto Naskh Arabic"/>
        </w:rPr>
        <w:t xml:space="preserve">• ANOVA سن تقریباً p=.801 می‌دهد، نه .72؛</w:t>
      </w:r>
    </w:p>
    <w:p>
      <w:pPr>
        <w:bidi/>
        <w:jc w:val="right"/>
        <w:spacing w:after="110" w:line="330" w:lineRule="auto"/>
      </w:pPr>
      <w:r>
        <w:rPr>
          <w:sz w:val="22"/>
          <w:szCs w:val="22"/>
          <w:rFonts w:ascii="Arial" w:hAnsi="Arial" w:cs="Noto Naskh Arabic"/>
        </w:rPr>
        <w:t xml:space="preserve">• آزمون کای‌دو جنس تقریباً p=.918 می‌دهد، نه .94.</w:t>
      </w:r>
    </w:p>
    <w:p>
      <w:pPr>
        <w:bidi/>
        <w:jc w:val="right"/>
        <w:spacing w:after="110" w:line="330" w:lineRule="auto"/>
      </w:pPr>
      <w:r>
        <w:rPr>
          <w:sz w:val="22"/>
          <w:szCs w:val="22"/>
          <w:rFonts w:ascii="Arial" w:hAnsi="Arial" w:cs="Noto Naskh Arabic"/>
        </w:rPr>
        <w:t xml:space="preserve">گرد کردن احتمالاً اختلاف سن را توضیح نمی‌دهد.</w:t>
      </w:r>
    </w:p>
    <w:p>
      <w:pPr>
        <w:bidi/>
        <w:jc w:val="right"/>
        <w:spacing w:after="110" w:line="330" w:lineRule="auto"/>
      </w:pPr>
      <w:r>
        <w:rPr>
          <w:sz w:val="22"/>
          <w:szCs w:val="22"/>
          <w:rFonts w:ascii="Arial" w:hAnsi="Arial" w:cs="Noto Naskh Arabic"/>
        </w:rPr>
        <w:t xml:space="preserve">اصلاح: خروجی تحلیل با داده فردی بازتولید و جدول اصلاح شود. آزمون معنی‌داری خط پایه نیز حذف شود؛ در RCT، جدول خط پایه برای توصیف است، نه اثبات «همگنی».</w:t>
      </w:r>
    </w:p>
    <w:p>
      <w:pPr>
        <w:pStyle w:val="Heading3"/>
        <w:bidi/>
        <w:jc w:val="right"/>
        <w:spacing w:after="110" w:line="330" w:lineRule="auto"/>
        <w:keepNext/>
      </w:pPr>
      <w:r>
        <w:rPr>
          <w:b/>
          <w:sz w:val="20"/>
          <w:szCs w:val="20"/>
          <w:rFonts w:ascii="Arial" w:hAnsi="Arial" w:cs="Noto Naskh Arabic"/>
        </w:rPr>
        <w:t xml:space="preserve">۱۲. کورسازی شرکت‌کننده محتمل است که شکست خورده باشد</w:t>
      </w:r>
    </w:p>
    <w:p>
      <w:pPr>
        <w:bidi/>
        <w:jc w:val="right"/>
        <w:spacing w:after="110" w:line="330" w:lineRule="auto"/>
      </w:pPr>
      <w:r>
        <w:rPr>
          <w:sz w:val="22"/>
          <w:szCs w:val="22"/>
          <w:rFonts w:ascii="Arial" w:hAnsi="Arial" w:cs="Noto Naskh Arabic"/>
        </w:rPr>
        <w:t xml:space="preserve">sham هیچ جریان یا حسی ایجاد نکرده، در حالی که درمان فعال تا پارستزی قوی تنظیم شده است. مقایسه درصد حدس صحیح بین بازوها آزمون موفقیت کورسازی نیست. در سه گروه، شانس حدس دقیق ۳۳٪ است؛ درصدهای ۶۲٪ و ۵۴٪ را نمی‌توان «بالاتر از شانس نبود» نامید.</w:t>
      </w:r>
    </w:p>
    <w:p>
      <w:pPr>
        <w:bidi/>
        <w:jc w:val="right"/>
        <w:spacing w:after="110" w:line="330" w:lineRule="auto"/>
      </w:pPr>
      <w:r>
        <w:rPr>
          <w:sz w:val="22"/>
          <w:szCs w:val="22"/>
          <w:rFonts w:ascii="Arial" w:hAnsi="Arial" w:cs="Noto Naskh Arabic"/>
        </w:rPr>
        <w:t xml:space="preserve">اصلاح:</w:t>
      </w:r>
    </w:p>
    <w:p>
      <w:pPr>
        <w:bidi/>
        <w:jc w:val="right"/>
        <w:spacing w:after="110" w:line="330" w:lineRule="auto"/>
      </w:pPr>
      <w:r>
        <w:rPr>
          <w:sz w:val="22"/>
          <w:szCs w:val="22"/>
          <w:rFonts w:ascii="Arial" w:hAnsi="Arial" w:cs="Noto Naskh Arabic"/>
        </w:rPr>
        <w:t xml:space="preserve">• گزارش سؤال، گزینه‌ها، زمان پرسش و جدول گروه واقعی×حدس؛</w:t>
      </w:r>
    </w:p>
    <w:p>
      <w:pPr>
        <w:bidi/>
        <w:jc w:val="right"/>
        <w:spacing w:after="110" w:line="330" w:lineRule="auto"/>
      </w:pPr>
      <w:r>
        <w:rPr>
          <w:sz w:val="22"/>
          <w:szCs w:val="22"/>
          <w:rFonts w:ascii="Arial" w:hAnsi="Arial" w:cs="Noto Naskh Arabic"/>
        </w:rPr>
        <w:t xml:space="preserve">• محاسبه Bang یا James blinding index با CI؛</w:t>
      </w:r>
    </w:p>
    <w:p>
      <w:pPr>
        <w:bidi/>
        <w:jc w:val="right"/>
        <w:spacing w:after="110" w:line="330" w:lineRule="auto"/>
      </w:pPr>
      <w:r>
        <w:rPr>
          <w:sz w:val="22"/>
          <w:szCs w:val="22"/>
          <w:rFonts w:ascii="Arial" w:hAnsi="Arial" w:cs="Noto Naskh Arabic"/>
        </w:rPr>
        <w:t xml:space="preserve">• گزارش دلیل حدس؛</w:t>
      </w:r>
    </w:p>
    <w:p>
      <w:pPr>
        <w:bidi/>
        <w:jc w:val="right"/>
        <w:spacing w:after="110" w:line="330" w:lineRule="auto"/>
      </w:pPr>
      <w:r>
        <w:rPr>
          <w:sz w:val="22"/>
          <w:szCs w:val="22"/>
          <w:rFonts w:ascii="Arial" w:hAnsi="Arial" w:cs="Noto Naskh Arabic"/>
        </w:rPr>
        <w:t xml:space="preserve">• معرفی طرح به عنوان assessor-blinded مگر آنکه کورسازی بیمار واقعاً اثبات شود؛</w:t>
      </w:r>
    </w:p>
    <w:p>
      <w:pPr>
        <w:bidi/>
        <w:jc w:val="right"/>
        <w:spacing w:after="110" w:line="330" w:lineRule="auto"/>
      </w:pPr>
      <w:r>
        <w:rPr>
          <w:sz w:val="22"/>
          <w:szCs w:val="22"/>
          <w:rFonts w:ascii="Arial" w:hAnsi="Arial" w:cs="Noto Naskh Arabic"/>
        </w:rPr>
        <w:t xml:space="preserve">• تعدیل نتیجه‌گیری، چون همه پیامدهای اثربخشی خودگزارشی‌اند.</w:t>
      </w:r>
    </w:p>
    <w:p>
      <w:pPr>
        <w:pStyle w:val="Heading3"/>
        <w:bidi/>
        <w:jc w:val="right"/>
        <w:spacing w:after="110" w:line="330" w:lineRule="auto"/>
        <w:keepNext/>
      </w:pPr>
      <w:r>
        <w:rPr>
          <w:b/>
          <w:sz w:val="20"/>
          <w:szCs w:val="20"/>
          <w:rFonts w:ascii="Arial" w:hAnsi="Arial" w:cs="Noto Naskh Arabic"/>
        </w:rPr>
        <w:t xml:space="preserve">۱۳. sham برای بازوی infraorbital هم‌محل نیست</w:t>
      </w:r>
    </w:p>
    <w:p>
      <w:pPr>
        <w:bidi/>
        <w:jc w:val="right"/>
        <w:spacing w:after="110" w:line="330" w:lineRule="auto"/>
      </w:pPr>
      <w:r>
        <w:rPr>
          <w:sz w:val="22"/>
          <w:szCs w:val="22"/>
          <w:rFonts w:ascii="Arial" w:hAnsi="Arial" w:cs="Noto Naskh Arabic"/>
        </w:rPr>
        <w:t xml:space="preserve">sham فقط روی supraorbital قرار گرفته است. بنابراین مقایسه infraorbital با sham، اثر محل الکترود و انتظار مرتبط با محل را کنترل نمی‌کند.</w:t>
      </w:r>
    </w:p>
    <w:p>
      <w:pPr>
        <w:bidi/>
        <w:jc w:val="right"/>
        <w:spacing w:after="110" w:line="330" w:lineRule="auto"/>
      </w:pPr>
      <w:r>
        <w:rPr>
          <w:sz w:val="22"/>
          <w:szCs w:val="22"/>
          <w:rFonts w:ascii="Arial" w:hAnsi="Arial" w:cs="Noto Naskh Arabic"/>
        </w:rPr>
        <w:t xml:space="preserve">اصلاح در تفسیر: هر ادعای برابری یا قابلیت جایگزینی دو محل حذف شود. مطالعه آینده باید sham هم‌محل برای هر محل یا طراحی factorial/double-dummy داشته باشد.</w:t>
      </w:r>
    </w:p>
    <w:p>
      <w:pPr>
        <w:pStyle w:val="Heading3"/>
        <w:bidi/>
        <w:jc w:val="right"/>
        <w:spacing w:after="110" w:line="330" w:lineRule="auto"/>
        <w:keepNext/>
      </w:pPr>
      <w:r>
        <w:rPr>
          <w:b/>
          <w:sz w:val="20"/>
          <w:szCs w:val="20"/>
          <w:rFonts w:ascii="Arial" w:hAnsi="Arial" w:cs="Noto Naskh Arabic"/>
        </w:rPr>
        <w:t xml:space="preserve">۱۴. انتخاب ۵۴ نفر پیش از تصادفی‌سازی قابلیت تعمیم را محدود می‌کند</w:t>
      </w:r>
    </w:p>
    <w:p>
      <w:pPr>
        <w:bidi/>
        <w:jc w:val="right"/>
        <w:spacing w:after="110" w:line="330" w:lineRule="auto"/>
      </w:pPr>
      <w:r>
        <w:rPr>
          <w:sz w:val="22"/>
          <w:szCs w:val="22"/>
          <w:rFonts w:ascii="Arial" w:hAnsi="Arial" w:cs="Noto Naskh Arabic"/>
        </w:rPr>
        <w:t xml:space="preserve">۳۹٫۴٪ افراد غربال‌شده به دلیل ناتوانی یا عدم تمایل به ۲۴ مراجعه حذف شدند. این کار لزوماً مقایسه تصادفی در ۸۳ فرد واردشده را مخدوش نمی‌کند، اما نتیجه را به افرادی محدود می‌کند که توان پایبندی به برنامه بسیار فشرده دارند.</w:t>
      </w:r>
    </w:p>
    <w:p>
      <w:pPr>
        <w:bidi/>
        <w:jc w:val="right"/>
        <w:spacing w:after="110" w:line="330" w:lineRule="auto"/>
      </w:pPr>
      <w:r>
        <w:rPr>
          <w:sz w:val="22"/>
          <w:szCs w:val="22"/>
          <w:rFonts w:ascii="Arial" w:hAnsi="Arial" w:cs="Noto Naskh Arabic"/>
        </w:rPr>
        <w:t xml:space="preserve">اصلاح: ویژگی‌های پایه افراد کنارگذاشته‌شده در صورت مجاز بودن گزارش و محدودیت external validity شفاف بیان شود. برای آنان outcome فرضی ساخته نشود.</w:t>
      </w:r>
    </w:p>
    <w:p>
      <w:pPr>
        <w:pStyle w:val="Heading3"/>
        <w:bidi/>
        <w:jc w:val="right"/>
        <w:spacing w:after="110" w:line="330" w:lineRule="auto"/>
        <w:keepNext/>
      </w:pPr>
      <w:r>
        <w:rPr>
          <w:b/>
          <w:sz w:val="20"/>
          <w:szCs w:val="20"/>
          <w:rFonts w:ascii="Arial" w:hAnsi="Arial" w:cs="Noto Naskh Arabic"/>
        </w:rPr>
        <w:t xml:space="preserve">۱۵. پیامد اصلی استاندارد و عملیاتی نشده است</w:t>
      </w:r>
    </w:p>
    <w:p>
      <w:pPr>
        <w:bidi/>
        <w:jc w:val="right"/>
        <w:spacing w:after="110" w:line="330" w:lineRule="auto"/>
      </w:pPr>
      <w:r>
        <w:rPr>
          <w:sz w:val="22"/>
          <w:szCs w:val="22"/>
          <w:rFonts w:ascii="Arial" w:hAnsi="Arial" w:cs="Noto Naskh Arabic"/>
        </w:rPr>
        <w:t xml:space="preserve">در کارآزمایی پیشگیری میگرن معمولاً «روزهای میگرنی در ۲۸ روز» نسبت به «تعداد حملات» ترجیح دارد. تعریف جداسازی حملات با فاصله بدون درد ۲۴ ساعت ممکن است recurrence را حمله جدید بشمارد. با میانگین ۱۲ تا ۱۵ حمله در ماه، اطلاع از روزهای سردرد/میگرن و مزمن یا اپیزودیک بودن حیاتی است.</w:t>
      </w:r>
    </w:p>
    <w:p>
      <w:pPr>
        <w:bidi/>
        <w:jc w:val="right"/>
        <w:spacing w:after="110" w:line="330" w:lineRule="auto"/>
      </w:pPr>
      <w:r>
        <w:rPr>
          <w:sz w:val="22"/>
          <w:szCs w:val="22"/>
          <w:rFonts w:ascii="Arial" w:hAnsi="Arial" w:cs="Noto Naskh Arabic"/>
        </w:rPr>
        <w:t xml:space="preserve">اصلاح:</w:t>
      </w:r>
    </w:p>
    <w:p>
      <w:pPr>
        <w:bidi/>
        <w:jc w:val="right"/>
        <w:spacing w:after="110" w:line="330" w:lineRule="auto"/>
      </w:pPr>
      <w:r>
        <w:rPr>
          <w:sz w:val="22"/>
          <w:szCs w:val="22"/>
          <w:rFonts w:ascii="Arial" w:hAnsi="Arial" w:cs="Noto Naskh Arabic"/>
        </w:rPr>
        <w:t xml:space="preserve">• مدت run-in آینده‌نگر؛</w:t>
      </w:r>
    </w:p>
    <w:p>
      <w:pPr>
        <w:bidi/>
        <w:jc w:val="right"/>
        <w:spacing w:after="110" w:line="330" w:lineRule="auto"/>
      </w:pPr>
      <w:r>
        <w:rPr>
          <w:sz w:val="22"/>
          <w:szCs w:val="22"/>
          <w:rFonts w:ascii="Arial" w:hAnsi="Arial" w:cs="Noto Naskh Arabic"/>
        </w:rPr>
        <w:t xml:space="preserve">• پنجره‌های دقیق diary؛</w:t>
      </w:r>
    </w:p>
    <w:p>
      <w:pPr>
        <w:bidi/>
        <w:jc w:val="right"/>
        <w:spacing w:after="110" w:line="330" w:lineRule="auto"/>
      </w:pPr>
      <w:r>
        <w:rPr>
          <w:sz w:val="22"/>
          <w:szCs w:val="22"/>
          <w:rFonts w:ascii="Arial" w:hAnsi="Arial" w:cs="Noto Naskh Arabic"/>
        </w:rPr>
        <w:t xml:space="preserve">• درصد تکمیل diary؛</w:t>
      </w:r>
    </w:p>
    <w:p>
      <w:pPr>
        <w:bidi/>
        <w:jc w:val="right"/>
        <w:spacing w:after="110" w:line="330" w:lineRule="auto"/>
      </w:pPr>
      <w:r>
        <w:rPr>
          <w:sz w:val="22"/>
          <w:szCs w:val="22"/>
          <w:rFonts w:ascii="Arial" w:hAnsi="Arial" w:cs="Noto Naskh Arabic"/>
        </w:rPr>
        <w:t xml:space="preserve">• الگوریتم روز سردرد، روز میگرنی و حمله؛</w:t>
      </w:r>
    </w:p>
    <w:p>
      <w:pPr>
        <w:bidi/>
        <w:jc w:val="right"/>
        <w:spacing w:after="110" w:line="330" w:lineRule="auto"/>
      </w:pPr>
      <w:r>
        <w:rPr>
          <w:sz w:val="22"/>
          <w:szCs w:val="22"/>
          <w:rFonts w:ascii="Arial" w:hAnsi="Arial" w:cs="Noto Naskh Arabic"/>
        </w:rPr>
        <w:t xml:space="preserve">• نحوه برخورد با rescue medication و recurrence؛</w:t>
      </w:r>
    </w:p>
    <w:p>
      <w:pPr>
        <w:bidi/>
        <w:jc w:val="right"/>
        <w:spacing w:after="110" w:line="330" w:lineRule="auto"/>
      </w:pPr>
      <w:r>
        <w:rPr>
          <w:sz w:val="22"/>
          <w:szCs w:val="22"/>
          <w:rFonts w:ascii="Arial" w:hAnsi="Arial" w:cs="Noto Naskh Arabic"/>
        </w:rPr>
        <w:t xml:space="preserve">• گزارش migraine days، headache days و ≥50% responder در صورت جمع‌آوری.</w:t>
      </w:r>
    </w:p>
    <w:p>
      <w:pPr>
        <w:pStyle w:val="Heading3"/>
        <w:bidi/>
        <w:jc w:val="right"/>
        <w:spacing w:after="110" w:line="330" w:lineRule="auto"/>
        <w:keepNext/>
      </w:pPr>
      <w:r>
        <w:rPr>
          <w:b/>
          <w:sz w:val="20"/>
          <w:szCs w:val="20"/>
          <w:rFonts w:ascii="Arial" w:hAnsi="Arial" w:cs="Noto Naskh Arabic"/>
        </w:rPr>
        <w:t xml:space="preserve">۱۶. تعریف و اعتبار پیامدهای ثانویه ناکافی است</w:t>
      </w:r>
    </w:p>
    <w:p>
      <w:pPr>
        <w:bidi/>
        <w:jc w:val="right"/>
        <w:spacing w:after="110" w:line="330" w:lineRule="auto"/>
      </w:pPr>
      <w:r>
        <w:rPr>
          <w:sz w:val="22"/>
          <w:szCs w:val="22"/>
          <w:rFonts w:ascii="Arial" w:hAnsi="Arial" w:cs="Noto Naskh Arabic"/>
        </w:rPr>
        <w:t xml:space="preserve">• ابزار «VAS 0–10» احتمالاً NRS است، مگر خط ۱۰ سانتی‌متری استفاده شده باشد؛ نوع ابزار، anchor و recall window ذکر نشده است.</w:t>
      </w:r>
    </w:p>
    <w:p>
      <w:pPr>
        <w:bidi/>
        <w:jc w:val="right"/>
        <w:spacing w:after="110" w:line="330" w:lineRule="auto"/>
      </w:pPr>
      <w:r>
        <w:rPr>
          <w:sz w:val="22"/>
          <w:szCs w:val="22"/>
          <w:rFonts w:ascii="Arial" w:hAnsi="Arial" w:cs="Noto Naskh Arabic"/>
        </w:rPr>
        <w:t xml:space="preserve">• MIDAS دوره یادآوری سه‌ماهه دارد؛ سنجش در ماه اول با دوره پیش از درمان هم‌پوشانی دارد و پاسخ یک‌ماهه پاک نیست.</w:t>
      </w:r>
    </w:p>
    <w:p>
      <w:pPr>
        <w:bidi/>
        <w:jc w:val="right"/>
        <w:spacing w:after="110" w:line="330" w:lineRule="auto"/>
      </w:pPr>
      <w:r>
        <w:rPr>
          <w:sz w:val="22"/>
          <w:szCs w:val="22"/>
          <w:rFonts w:ascii="Arial" w:hAnsi="Arial" w:cs="Noto Naskh Arabic"/>
        </w:rPr>
        <w:t xml:space="preserve">• MPQ-5 ابزار تصمیم/غربالگری برای پیشگیری است، نه لزوماً outcome پیوسته پاسخ به درمان. دامنه، نمره‌گذاری، نسخه فارسی و responsiveness ذکر نشده‌اند.</w:t>
      </w:r>
    </w:p>
    <w:p>
      <w:pPr>
        <w:bidi/>
        <w:jc w:val="right"/>
        <w:spacing w:after="110" w:line="330" w:lineRule="auto"/>
      </w:pPr>
      <w:r>
        <w:rPr>
          <w:sz w:val="22"/>
          <w:szCs w:val="22"/>
          <w:rFonts w:ascii="Arial" w:hAnsi="Arial" w:cs="Noto Naskh Arabic"/>
        </w:rPr>
        <w:t xml:space="preserve">• استفاده از طبقه HIT-6 برای «میانگین گروه» صحیح نیست؛ طبقات برای افراد تعریف می‌شوند.</w:t>
      </w:r>
    </w:p>
    <w:p>
      <w:pPr>
        <w:bidi/>
        <w:jc w:val="right"/>
        <w:spacing w:after="110" w:line="330" w:lineRule="auto"/>
      </w:pPr>
      <w:r>
        <w:rPr>
          <w:sz w:val="22"/>
          <w:szCs w:val="22"/>
          <w:rFonts w:ascii="Arial" w:hAnsi="Arial" w:cs="Noto Naskh Arabic"/>
        </w:rPr>
        <w:t xml:space="preserve">اصلاح: مشخصات کامل هر ابزار، نسخه فارسی معتبر، دامنه، جهت نمره، پنجره زمانی و MCID گزارش شود. MIDAS ماه اول حذف یا صرفاً توصیفی و محدودیت آن ذکر شود. MPQ-5 در صورت نبود اعتبار پاسخ‌دهی به عنوان پیامد اکتشافی گزارش شود.</w:t>
      </w:r>
    </w:p>
    <w:p>
      <w:pPr>
        <w:pStyle w:val="Heading3"/>
        <w:bidi/>
        <w:jc w:val="right"/>
        <w:spacing w:after="110" w:line="330" w:lineRule="auto"/>
        <w:keepNext/>
      </w:pPr>
      <w:r>
        <w:rPr>
          <w:b/>
          <w:sz w:val="20"/>
          <w:szCs w:val="20"/>
          <w:rFonts w:ascii="Arial" w:hAnsi="Arial" w:cs="Noto Naskh Arabic"/>
        </w:rPr>
        <w:t xml:space="preserve">۱۷. مداخله قابل تکرار نیست</w:t>
      </w:r>
    </w:p>
    <w:p>
      <w:pPr>
        <w:bidi/>
        <w:jc w:val="right"/>
        <w:spacing w:after="110" w:line="330" w:lineRule="auto"/>
      </w:pPr>
      <w:r>
        <w:rPr>
          <w:sz w:val="22"/>
          <w:szCs w:val="22"/>
          <w:rFonts w:ascii="Arial" w:hAnsi="Arial" w:cs="Noto Naskh Arabic"/>
        </w:rPr>
        <w:t xml:space="preserve">مدل دقیق دستگاه Novin، waveform، ابعاد و جنس الکترود، montage/polarity، محل‌یابی آناتومیک، آماده‌سازی پوست، ramp، impedance، کالیبراسیون و شدت واقعاً تحویل‌شده گزارش نشده‌اند.</w:t>
      </w:r>
    </w:p>
    <w:p>
      <w:pPr>
        <w:bidi/>
        <w:jc w:val="right"/>
        <w:spacing w:after="110" w:line="330" w:lineRule="auto"/>
      </w:pPr>
      <w:r>
        <w:rPr>
          <w:sz w:val="22"/>
          <w:szCs w:val="22"/>
          <w:rFonts w:ascii="Arial" w:hAnsi="Arial" w:cs="Noto Naskh Arabic"/>
        </w:rPr>
        <w:t xml:space="preserve">اصلاح: تکمیل TIDieR و CONSORT-NPT با موارد فوق، تجربه درمانگر، fidelity، انحرافات، لاگ ۲۴ جلسه و توزیع شدت واقعی.</w:t>
      </w:r>
    </w:p>
    <w:p>
      <w:pPr>
        <w:pStyle w:val="Heading3"/>
        <w:bidi/>
        <w:jc w:val="right"/>
        <w:spacing w:after="110" w:line="330" w:lineRule="auto"/>
        <w:keepNext/>
      </w:pPr>
      <w:r>
        <w:rPr>
          <w:b/>
          <w:sz w:val="20"/>
          <w:szCs w:val="20"/>
          <w:rFonts w:ascii="Arial" w:hAnsi="Arial" w:cs="Noto Naskh Arabic"/>
        </w:rPr>
        <w:t xml:space="preserve">۱۸. اطلاعات بالینی خط پایه بسیار ناکافی است</w:t>
      </w:r>
    </w:p>
    <w:p>
      <w:pPr>
        <w:bidi/>
        <w:jc w:val="right"/>
        <w:spacing w:after="110" w:line="330" w:lineRule="auto"/>
      </w:pPr>
      <w:r>
        <w:rPr>
          <w:sz w:val="22"/>
          <w:szCs w:val="22"/>
          <w:rFonts w:ascii="Arial" w:hAnsi="Arial" w:cs="Noto Naskh Arabic"/>
        </w:rPr>
        <w:t xml:space="preserve">جدول ۱ فقط سن و جنس دارد. موارد لازم:</w:t>
      </w:r>
    </w:p>
    <w:p>
      <w:pPr>
        <w:bidi/>
        <w:jc w:val="right"/>
        <w:spacing w:after="110" w:line="330" w:lineRule="auto"/>
      </w:pPr>
      <w:r>
        <w:rPr>
          <w:sz w:val="22"/>
          <w:szCs w:val="22"/>
          <w:rFonts w:ascii="Arial" w:hAnsi="Arial" w:cs="Noto Naskh Arabic"/>
        </w:rPr>
        <w:t xml:space="preserve">• اپیزودیک/مزمن و با/بدون aura؛</w:t>
      </w:r>
    </w:p>
    <w:p>
      <w:pPr>
        <w:bidi/>
        <w:jc w:val="right"/>
        <w:spacing w:after="110" w:line="330" w:lineRule="auto"/>
      </w:pPr>
      <w:r>
        <w:rPr>
          <w:sz w:val="22"/>
          <w:szCs w:val="22"/>
          <w:rFonts w:ascii="Arial" w:hAnsi="Arial" w:cs="Noto Naskh Arabic"/>
        </w:rPr>
        <w:t xml:space="preserve">• مدت بیماری؛</w:t>
      </w:r>
    </w:p>
    <w:p>
      <w:pPr>
        <w:bidi/>
        <w:jc w:val="right"/>
        <w:spacing w:after="110" w:line="330" w:lineRule="auto"/>
      </w:pPr>
      <w:r>
        <w:rPr>
          <w:sz w:val="22"/>
          <w:szCs w:val="22"/>
          <w:rFonts w:ascii="Arial" w:hAnsi="Arial" w:cs="Noto Naskh Arabic"/>
        </w:rPr>
        <w:t xml:space="preserve">• روزهای سردرد و میگرن؛</w:t>
      </w:r>
    </w:p>
    <w:p>
      <w:pPr>
        <w:bidi/>
        <w:jc w:val="right"/>
        <w:spacing w:after="110" w:line="330" w:lineRule="auto"/>
      </w:pPr>
      <w:r>
        <w:rPr>
          <w:sz w:val="22"/>
          <w:szCs w:val="22"/>
          <w:rFonts w:ascii="Arial" w:hAnsi="Arial" w:cs="Noto Naskh Arabic"/>
        </w:rPr>
        <w:t xml:space="preserve">• شدت و همه outcomes پایه؛</w:t>
      </w:r>
    </w:p>
    <w:p>
      <w:pPr>
        <w:bidi/>
        <w:jc w:val="right"/>
        <w:spacing w:after="110" w:line="330" w:lineRule="auto"/>
      </w:pPr>
      <w:r>
        <w:rPr>
          <w:sz w:val="22"/>
          <w:szCs w:val="22"/>
          <w:rFonts w:ascii="Arial" w:hAnsi="Arial" w:cs="Noto Naskh Arabic"/>
        </w:rPr>
        <w:t xml:space="preserve">• شکست درمان‌های پیشگیرانه قبلی؛</w:t>
      </w:r>
    </w:p>
    <w:p>
      <w:pPr>
        <w:bidi/>
        <w:jc w:val="right"/>
        <w:spacing w:after="110" w:line="330" w:lineRule="auto"/>
      </w:pPr>
      <w:r>
        <w:rPr>
          <w:sz w:val="22"/>
          <w:szCs w:val="22"/>
          <w:rFonts w:ascii="Arial" w:hAnsi="Arial" w:cs="Noto Naskh Arabic"/>
        </w:rPr>
        <w:t xml:space="preserve">• داروهای حاد؛</w:t>
      </w:r>
    </w:p>
    <w:p>
      <w:pPr>
        <w:bidi/>
        <w:jc w:val="right"/>
        <w:spacing w:after="110" w:line="330" w:lineRule="auto"/>
      </w:pPr>
      <w:r>
        <w:rPr>
          <w:sz w:val="22"/>
          <w:szCs w:val="22"/>
          <w:rFonts w:ascii="Arial" w:hAnsi="Arial" w:cs="Noto Naskh Arabic"/>
        </w:rPr>
        <w:t xml:space="preserve">• بیماری‌های همراه روان‌پزشکی و جسمی؛</w:t>
      </w:r>
    </w:p>
    <w:p>
      <w:pPr>
        <w:bidi/>
        <w:jc w:val="right"/>
        <w:spacing w:after="110" w:line="330" w:lineRule="auto"/>
      </w:pPr>
      <w:r>
        <w:rPr>
          <w:sz w:val="22"/>
          <w:szCs w:val="22"/>
          <w:rFonts w:ascii="Arial" w:hAnsi="Arial" w:cs="Noto Naskh Arabic"/>
        </w:rPr>
        <w:t xml:space="preserve">• درمان‌های همزمان.</w:t>
      </w:r>
    </w:p>
    <w:p>
      <w:pPr>
        <w:bidi/>
        <w:jc w:val="right"/>
        <w:spacing w:after="110" w:line="330" w:lineRule="auto"/>
      </w:pPr>
      <w:r>
        <w:rPr>
          <w:sz w:val="22"/>
          <w:szCs w:val="22"/>
          <w:rFonts w:ascii="Arial" w:hAnsi="Arial" w:cs="Noto Naskh Arabic"/>
        </w:rPr>
        <w:t xml:space="preserve">washout دو هفته‌ای برای برخی داروهای طولانی‌اثر کافی نیست. شروع درمان پیشگیرانه در follow-up نیز تعریف نشده است.</w:t>
      </w:r>
    </w:p>
    <w:p>
      <w:pPr>
        <w:pStyle w:val="Heading3"/>
        <w:bidi/>
        <w:jc w:val="right"/>
        <w:spacing w:after="110" w:line="330" w:lineRule="auto"/>
        <w:keepNext/>
      </w:pPr>
      <w:r>
        <w:rPr>
          <w:b/>
          <w:sz w:val="20"/>
          <w:szCs w:val="20"/>
          <w:rFonts w:ascii="Arial" w:hAnsi="Arial" w:cs="Noto Naskh Arabic"/>
        </w:rPr>
        <w:t xml:space="preserve">۱۹. ایمنی بیش از حد تفسیر شده است</w:t>
      </w:r>
    </w:p>
    <w:p>
      <w:pPr>
        <w:bidi/>
        <w:jc w:val="right"/>
        <w:spacing w:after="110" w:line="330" w:lineRule="auto"/>
      </w:pPr>
      <w:r>
        <w:rPr>
          <w:sz w:val="22"/>
          <w:szCs w:val="22"/>
          <w:rFonts w:ascii="Arial" w:hAnsi="Arial" w:cs="Noto Naskh Arabic"/>
        </w:rPr>
        <w:t xml:space="preserve">پرسش باز عوارض خفیف را کم‌شماری می‌کند. شدت، مدت، ارتباط، دفعات و رخدادهای sham کامل نیست. صفر SAE در ۸۳ نفر ایمنی را ثابت نمی‌کند؛ حد بالای تقریبی ۹۵٪ با rule of three حدود ۳٫۶٪ است.</w:t>
      </w:r>
    </w:p>
    <w:p>
      <w:pPr>
        <w:bidi/>
        <w:jc w:val="right"/>
        <w:spacing w:after="110" w:line="330" w:lineRule="auto"/>
      </w:pPr>
      <w:r>
        <w:rPr>
          <w:sz w:val="22"/>
          <w:szCs w:val="22"/>
          <w:rFonts w:ascii="Arial" w:hAnsi="Arial" w:cs="Noto Naskh Arabic"/>
        </w:rPr>
        <w:t xml:space="preserve">اصلاح عبارت: «هیچ عارضه جدی در این نمونه کوچک و پیگیری کوتاه شناسایی نشد»، نه «favorable safety profile».</w:t>
      </w:r>
    </w:p>
    <w:p>
      <w:pPr>
        <w:pStyle w:val="Heading3"/>
        <w:bidi/>
        <w:jc w:val="right"/>
        <w:spacing w:after="110" w:line="330" w:lineRule="auto"/>
        <w:keepNext/>
      </w:pPr>
      <w:r>
        <w:rPr>
          <w:b/>
          <w:sz w:val="20"/>
          <w:szCs w:val="20"/>
          <w:rFonts w:ascii="Arial" w:hAnsi="Arial" w:cs="Noto Naskh Arabic"/>
        </w:rPr>
        <w:t xml:space="preserve">۲۰. ادعای CONSORT کامل نیست</w:t>
      </w:r>
    </w:p>
    <w:p>
      <w:pPr>
        <w:bidi/>
        <w:jc w:val="right"/>
        <w:spacing w:after="110" w:line="330" w:lineRule="auto"/>
      </w:pPr>
      <w:r>
        <w:rPr>
          <w:sz w:val="22"/>
          <w:szCs w:val="22"/>
          <w:rFonts w:ascii="Arial" w:hAnsi="Arial" w:cs="Noto Naskh Arabic"/>
        </w:rPr>
        <w:t xml:space="preserve">در سال ۲۰۲۶ بهتر است گزارش با CONSORT 2025 و افزونه مداخلات غیردارویی تطبیق داده شود. موارد ناقص شامل تاریخ جذب و پیگیری، نقش‌های اجرای تصادفی‌سازی، fidelity، تخصص ارائه‌دهنده، فاصله تصادفی‌سازی تا درمان، انحرافات، دسترسی پروتکل و اطلاعات بالینی پایه است. شکل جریان و Figure 2 نیز در PDF ارسالی قابل مشاهده نیستند.</w:t>
      </w:r>
    </w:p>
    <w:p>
      <w:pPr>
        <w:bidi/>
        <w:jc w:val="right"/>
        <w:spacing w:after="110" w:line="330" w:lineRule="auto"/>
      </w:pPr>
      <w:r>
        <w:rPr>
          <w:sz w:val="18"/>
          <w:szCs w:val="18"/>
          <w:rFonts w:ascii="Arial" w:hAnsi="Arial" w:cs="Noto Naskh Arabic"/>
        </w:rPr>
        <w:t xml:space="preserve">────────────────────────</w:t>
      </w:r>
    </w:p>
    <w:p>
      <w:pPr>
        <w:pStyle w:val="Heading2"/>
        <w:bidi/>
        <w:jc w:val="right"/>
        <w:spacing w:after="110" w:line="330" w:lineRule="auto"/>
        <w:keepNext/>
      </w:pPr>
      <w:r>
        <w:rPr>
          <w:b/>
          <w:sz w:val="24"/>
          <w:szCs w:val="24"/>
          <w:rFonts w:ascii="Arial" w:hAnsi="Arial" w:cs="Noto Naskh Arabic"/>
        </w:rPr>
        <w:t xml:space="preserve">ایرادات تفسیر، نگارش و منابع</w:t>
      </w:r>
    </w:p>
    <w:p>
      <w:pPr>
        <w:pStyle w:val="Heading3"/>
        <w:bidi/>
        <w:jc w:val="right"/>
        <w:spacing w:after="110" w:line="330" w:lineRule="auto"/>
        <w:keepNext/>
      </w:pPr>
      <w:r>
        <w:rPr>
          <w:b/>
          <w:sz w:val="20"/>
          <w:szCs w:val="20"/>
          <w:rFonts w:ascii="Arial" w:hAnsi="Arial" w:cs="Noto Naskh Arabic"/>
        </w:rPr>
        <w:t xml:space="preserve">۲۱. نبود تفاوت معنادار به معنی برابری نیست</w:t>
      </w:r>
    </w:p>
    <w:p>
      <w:pPr>
        <w:bidi/>
        <w:jc w:val="right"/>
        <w:spacing w:after="110" w:line="330" w:lineRule="auto"/>
      </w:pPr>
      <w:r>
        <w:rPr>
          <w:sz w:val="22"/>
          <w:szCs w:val="22"/>
          <w:rFonts w:ascii="Arial" w:hAnsi="Arial" w:cs="Noto Naskh Arabic"/>
        </w:rPr>
        <w:t xml:space="preserve">مطالعه برای equivalence یا non-inferiority طراحی نشده و توان مقایسه دو محل کافی نیست. واژه‌های comparable، similar، interchangeable و «either site may be clinically acceptable» باید حذف شوند.</w:t>
      </w:r>
    </w:p>
    <w:p>
      <w:pPr>
        <w:pStyle w:val="Heading3"/>
        <w:bidi/>
        <w:jc w:val="right"/>
        <w:spacing w:after="110" w:line="330" w:lineRule="auto"/>
        <w:keepNext/>
      </w:pPr>
      <w:r>
        <w:rPr>
          <w:b/>
          <w:sz w:val="20"/>
          <w:szCs w:val="20"/>
          <w:rFonts w:ascii="Arial" w:hAnsi="Arial" w:cs="Noto Naskh Arabic"/>
        </w:rPr>
        <w:t xml:space="preserve">۲۲. الگوی زمانی «سریع‌تر» آزمون نشده است</w:t>
      </w:r>
    </w:p>
    <w:p>
      <w:pPr>
        <w:bidi/>
        <w:jc w:val="right"/>
        <w:spacing w:after="110" w:line="330" w:lineRule="auto"/>
      </w:pPr>
      <w:r>
        <w:rPr>
          <w:sz w:val="22"/>
          <w:szCs w:val="22"/>
          <w:rFonts w:ascii="Arial" w:hAnsi="Arial" w:cs="Noto Naskh Arabic"/>
        </w:rPr>
        <w:t xml:space="preserve">ادعای پاسخ سریع‌تر supraorbital فقط از درصدهای عددی ساخته شده و interaction گروه×زمان آزمون نشده است. Table 9 و توضیح مکانیسم آن باید حذف شوند یا صرفاً exploratory و بدون ادعای تفاوت باقی بمانند.</w:t>
      </w:r>
    </w:p>
    <w:p>
      <w:pPr>
        <w:pStyle w:val="Heading3"/>
        <w:bidi/>
        <w:jc w:val="right"/>
        <w:spacing w:after="110" w:line="330" w:lineRule="auto"/>
        <w:keepNext/>
      </w:pPr>
      <w:r>
        <w:rPr>
          <w:b/>
          <w:sz w:val="20"/>
          <w:szCs w:val="20"/>
          <w:rFonts w:ascii="Arial" w:hAnsi="Arial" w:cs="Noto Naskh Arabic"/>
        </w:rPr>
        <w:t xml:space="preserve">۲۳. نتیجه‌گیری بیش از داده‌هاست</w:t>
      </w:r>
    </w:p>
    <w:p>
      <w:pPr>
        <w:bidi/>
        <w:jc w:val="right"/>
        <w:spacing w:after="110" w:line="330" w:lineRule="auto"/>
      </w:pPr>
      <w:r>
        <w:rPr>
          <w:sz w:val="22"/>
          <w:szCs w:val="22"/>
          <w:rFonts w:ascii="Arial" w:hAnsi="Arial" w:cs="Noto Naskh Arabic"/>
        </w:rPr>
        <w:t xml:space="preserve">عبارت «effective» با توجه به sham غیرحسی، پیامدهای خودگزارشی، روش نامطمئن تصادفی‌سازی و تحلیل نامناسب قطعی است. نتیجه قابل دفاع فقط «association/preliminary efficacy signal» است.</w:t>
      </w:r>
    </w:p>
    <w:p>
      <w:pPr>
        <w:pStyle w:val="Heading3"/>
        <w:bidi/>
        <w:jc w:val="right"/>
        <w:spacing w:after="110" w:line="330" w:lineRule="auto"/>
        <w:keepNext/>
      </w:pPr>
      <w:r>
        <w:rPr>
          <w:b/>
          <w:sz w:val="20"/>
          <w:szCs w:val="20"/>
          <w:rFonts w:ascii="Arial" w:hAnsi="Arial" w:cs="Noto Naskh Arabic"/>
        </w:rPr>
        <w:t xml:space="preserve">۲۴. عنوان طولانی و تبلیغاتی است</w:t>
      </w:r>
    </w:p>
    <w:p>
      <w:pPr>
        <w:bidi/>
        <w:jc w:val="right"/>
        <w:spacing w:after="110" w:line="330" w:lineRule="auto"/>
      </w:pPr>
      <w:r>
        <w:rPr>
          <w:sz w:val="22"/>
          <w:szCs w:val="22"/>
          <w:rFonts w:ascii="Arial" w:hAnsi="Arial" w:cs="Noto Naskh Arabic"/>
        </w:rPr>
        <w:t xml:space="preserve">عبارت «highly adherent population» نتیجه انتخاب پیش از تصادفی‌سازی است و در عنوان ضروری نیست. «preventing new attacks» نیز مبهم است.</w:t>
      </w:r>
    </w:p>
    <w:p>
      <w:pPr>
        <w:bidi/>
        <w:jc w:val="right"/>
        <w:spacing w:after="110" w:line="330" w:lineRule="auto"/>
      </w:pPr>
      <w:r>
        <w:rPr>
          <w:sz w:val="22"/>
          <w:szCs w:val="22"/>
          <w:rFonts w:ascii="Arial" w:hAnsi="Arial" w:cs="Noto Naskh Arabic"/>
        </w:rPr>
        <w:t xml:space="preserve">عنوان پیشنهادی:</w:t>
      </w:r>
    </w:p>
    <w:p>
      <w:pPr>
        <w:bidi/>
        <w:jc w:val="right"/>
        <w:spacing w:after="110" w:line="330" w:lineRule="auto"/>
      </w:pPr>
      <w:r>
        <w:rPr>
          <w:sz w:val="21"/>
          <w:szCs w:val="21"/>
          <w:rFonts w:ascii="Arial" w:hAnsi="Arial" w:cs="Noto Naskh Arabic"/>
        </w:rPr>
        <w:t xml:space="preserve">نکته: Supraorbital versus infraorbital external trigeminal nerve stimulation for migraine prevention: a three-arm assessor-blinded randomized sham-controlled trial</w:t>
      </w:r>
    </w:p>
    <w:p>
      <w:pPr>
        <w:bidi/>
        <w:jc w:val="right"/>
        <w:spacing w:after="110" w:line="330" w:lineRule="auto"/>
      </w:pPr>
      <w:r>
        <w:rPr>
          <w:sz w:val="22"/>
          <w:szCs w:val="22"/>
          <w:rFonts w:ascii="Arial" w:hAnsi="Arial" w:cs="Noto Naskh Arabic"/>
        </w:rPr>
        <w:t xml:space="preserve">استفاده از واژه randomized منوط به تأیید مستندات تصادفی‌سازی است.</w:t>
      </w:r>
    </w:p>
    <w:p>
      <w:pPr>
        <w:pStyle w:val="Heading3"/>
        <w:bidi/>
        <w:jc w:val="right"/>
        <w:spacing w:after="110" w:line="330" w:lineRule="auto"/>
        <w:keepNext/>
      </w:pPr>
      <w:r>
        <w:rPr>
          <w:b/>
          <w:sz w:val="20"/>
          <w:szCs w:val="20"/>
          <w:rFonts w:ascii="Arial" w:hAnsi="Arial" w:cs="Noto Naskh Arabic"/>
        </w:rPr>
        <w:t xml:space="preserve">۲۵. چکیده باید اثر و CI بدهد، نه فقط p-value</w:t>
      </w:r>
    </w:p>
    <w:p>
      <w:pPr>
        <w:bidi/>
        <w:jc w:val="right"/>
        <w:spacing w:after="110" w:line="330" w:lineRule="auto"/>
      </w:pPr>
      <w:r>
        <w:rPr>
          <w:sz w:val="22"/>
          <w:szCs w:val="22"/>
          <w:rFonts w:ascii="Arial" w:hAnsi="Arial" w:cs="Noto Naskh Arabic"/>
        </w:rPr>
        <w:t xml:space="preserve">تحلیل حساسیت نامعتبر حذف شود. مقایسه اصلی و روش آماری مشخص و محدودیت کورسازی و sham هم‌محل‌نبودن در چکیده ذکر شود.</w:t>
      </w:r>
    </w:p>
    <w:p>
      <w:pPr>
        <w:pStyle w:val="Heading3"/>
        <w:bidi/>
        <w:jc w:val="right"/>
        <w:spacing w:after="110" w:line="330" w:lineRule="auto"/>
        <w:keepNext/>
      </w:pPr>
      <w:r>
        <w:rPr>
          <w:b/>
          <w:sz w:val="20"/>
          <w:szCs w:val="20"/>
          <w:rFonts w:ascii="Arial" w:hAnsi="Arial" w:cs="Noto Naskh Arabic"/>
        </w:rPr>
        <w:t xml:space="preserve">۲۶. تکرار و دفاع‌نویسی زیاد است</w:t>
      </w:r>
    </w:p>
    <w:p>
      <w:pPr>
        <w:bidi/>
        <w:jc w:val="right"/>
        <w:spacing w:after="110" w:line="330" w:lineRule="auto"/>
      </w:pPr>
      <w:r>
        <w:rPr>
          <w:sz w:val="22"/>
          <w:szCs w:val="22"/>
          <w:rFonts w:ascii="Arial" w:hAnsi="Arial" w:cs="Noto Naskh Arabic"/>
        </w:rPr>
        <w:t xml:space="preserve">متن بارها «explicitly acknowledged» و محدودیت‌ها را در Methods و Results تکرار می‌کند. این لحن شبیه پاسخ به داور است، نه مقاله. محدودیت‌ها یک‌بار دقیق در Discussion مطرح شوند.</w:t>
      </w:r>
    </w:p>
    <w:p>
      <w:pPr>
        <w:pStyle w:val="Heading3"/>
        <w:bidi/>
        <w:jc w:val="right"/>
        <w:spacing w:after="110" w:line="330" w:lineRule="auto"/>
        <w:keepNext/>
      </w:pPr>
      <w:r>
        <w:rPr>
          <w:b/>
          <w:sz w:val="20"/>
          <w:szCs w:val="20"/>
          <w:rFonts w:ascii="Arial" w:hAnsi="Arial" w:cs="Noto Naskh Arabic"/>
        </w:rPr>
        <w:t xml:space="preserve">۲۷. بخش بحث بیش از حد مکانیسم‌پردازی می‌کند</w:t>
      </w:r>
    </w:p>
    <w:p>
      <w:pPr>
        <w:bidi/>
        <w:jc w:val="right"/>
        <w:spacing w:after="110" w:line="330" w:lineRule="auto"/>
      </w:pPr>
      <w:r>
        <w:rPr>
          <w:sz w:val="22"/>
          <w:szCs w:val="22"/>
          <w:rFonts w:ascii="Arial" w:hAnsi="Arial" w:cs="Noto Naskh Arabic"/>
        </w:rPr>
        <w:t xml:space="preserve">هیچ biomarker، imaging یا اندازه‌گیری فیزیولوژیک وجود ندارد. توضیح جذب سریع‌تر Aβ در supraorbital مبتنی بر تفاوت آزمون‌نشده است و باید حذف یا به یک جمله محتاطانه محدود شود.</w:t>
      </w:r>
    </w:p>
    <w:p>
      <w:pPr>
        <w:pStyle w:val="Heading3"/>
        <w:bidi/>
        <w:jc w:val="right"/>
        <w:spacing w:after="110" w:line="330" w:lineRule="auto"/>
        <w:keepNext/>
      </w:pPr>
      <w:r>
        <w:rPr>
          <w:b/>
          <w:sz w:val="20"/>
          <w:szCs w:val="20"/>
          <w:rFonts w:ascii="Arial" w:hAnsi="Arial" w:cs="Noto Naskh Arabic"/>
        </w:rPr>
        <w:t xml:space="preserve">۲۸. مشکلات منابع</w:t>
      </w:r>
    </w:p>
    <w:p>
      <w:pPr>
        <w:bidi/>
        <w:jc w:val="right"/>
        <w:spacing w:after="110" w:line="330" w:lineRule="auto"/>
      </w:pPr>
      <w:r>
        <w:rPr>
          <w:sz w:val="22"/>
          <w:szCs w:val="22"/>
          <w:rFonts w:ascii="Arial" w:hAnsi="Arial" w:cs="Noto Naskh Arabic"/>
        </w:rPr>
        <w:t xml:space="preserve">• رفرنس ۳۸ ظاهراً نادرست است. مشخصات گزارش‌شده برای اعتبارسنجی فارسی HIT-6 باید بررسی شود؛ گزارش شناخته‌شده در Pain Practice، 2014;14(7):625–631 و DOI 10.1111/papr.12120 است.</w:t>
      </w:r>
    </w:p>
    <w:p>
      <w:pPr>
        <w:bidi/>
        <w:jc w:val="right"/>
        <w:spacing w:after="110" w:line="330" w:lineRule="auto"/>
      </w:pPr>
      <w:r>
        <w:rPr>
          <w:sz w:val="22"/>
          <w:szCs w:val="22"/>
          <w:rFonts w:ascii="Arial" w:hAnsi="Arial" w:cs="Noto Naskh Arabic"/>
        </w:rPr>
        <w:t xml:space="preserve">• رفرنس ۳۱ احتمالاً abstract کوتاه است، نه مقاله کامل validation؛ برای استفاده MPQ-5 به عنوان outcome طولی کافی نیست.</w:t>
      </w:r>
    </w:p>
    <w:p>
      <w:pPr>
        <w:bidi/>
        <w:jc w:val="right"/>
        <w:spacing w:after="110" w:line="330" w:lineRule="auto"/>
      </w:pPr>
      <w:r>
        <w:rPr>
          <w:sz w:val="22"/>
          <w:szCs w:val="22"/>
          <w:rFonts w:ascii="Arial" w:hAnsi="Arial" w:cs="Noto Naskh Arabic"/>
        </w:rPr>
        <w:t xml:space="preserve">• رفرنس ۲۳ مطالعه کنترل‌نشده nerve block ترکیبی است و شاهد مستقیم تحریک الکتریکی infraorbital نیست.</w:t>
      </w:r>
    </w:p>
    <w:p>
      <w:pPr>
        <w:bidi/>
        <w:jc w:val="right"/>
        <w:spacing w:after="110" w:line="330" w:lineRule="auto"/>
      </w:pPr>
      <w:r>
        <w:rPr>
          <w:sz w:val="22"/>
          <w:szCs w:val="22"/>
          <w:rFonts w:ascii="Arial" w:hAnsi="Arial" w:cs="Noto Naskh Arabic"/>
        </w:rPr>
        <w:t xml:space="preserve">• رفرنس ۲۴ abstract رتروسپکتیو تحریک کاشتنی ترکیبی است و حمایت ضعیفی برای TENS سطحی infraorbital دارد.</w:t>
      </w:r>
    </w:p>
    <w:p>
      <w:pPr>
        <w:bidi/>
        <w:jc w:val="right"/>
        <w:spacing w:after="110" w:line="330" w:lineRule="auto"/>
      </w:pPr>
      <w:r>
        <w:rPr>
          <w:sz w:val="22"/>
          <w:szCs w:val="22"/>
          <w:rFonts w:ascii="Arial" w:hAnsi="Arial" w:cs="Noto Naskh Arabic"/>
        </w:rPr>
        <w:t xml:space="preserve">• رفرنس ۳۶ نباید به عنوان حمایت گسترده از این پروتکل دستگاه عمومی تعبیر شود؛ بر شواهد محدود و بیماران منتخب مقاوم تأکید داشته است.</w:t>
      </w:r>
    </w:p>
    <w:p>
      <w:pPr>
        <w:bidi/>
        <w:jc w:val="right"/>
        <w:spacing w:after="110" w:line="330" w:lineRule="auto"/>
      </w:pPr>
      <w:r>
        <w:rPr>
          <w:sz w:val="22"/>
          <w:szCs w:val="22"/>
          <w:rFonts w:ascii="Arial" w:hAnsi="Arial" w:cs="Noto Naskh Arabic"/>
        </w:rPr>
        <w:t xml:space="preserve">• نتایج Cefaly قابل تعمیم مستقیم به دستگاه Novin با 100 Hz و برنامه ۲۴ جلسه‌ای نیست.</w:t>
      </w:r>
    </w:p>
    <w:p>
      <w:pPr>
        <w:bidi/>
        <w:jc w:val="right"/>
        <w:spacing w:after="110" w:line="330" w:lineRule="auto"/>
      </w:pPr>
      <w:r>
        <w:rPr>
          <w:sz w:val="22"/>
          <w:szCs w:val="22"/>
          <w:rFonts w:ascii="Arial" w:hAnsi="Arial" w:cs="Noto Naskh Arabic"/>
        </w:rPr>
        <w:t xml:space="preserve">• مقایسه درصد کاهش VAS این مطالعه با responder rate مطالعه Jiang قیاس هم‌سنخ نیست.</w:t>
      </w:r>
    </w:p>
    <w:p>
      <w:pPr>
        <w:bidi/>
        <w:jc w:val="right"/>
        <w:spacing w:after="110" w:line="330" w:lineRule="auto"/>
      </w:pPr>
      <w:r>
        <w:rPr>
          <w:sz w:val="22"/>
          <w:szCs w:val="22"/>
          <w:rFonts w:ascii="Arial" w:hAnsi="Arial" w:cs="Noto Naskh Arabic"/>
        </w:rPr>
        <w:t xml:space="preserve">• عبارت GBD بهتر است «second leading cause of years lived with disability» باشد.</w:t>
      </w:r>
    </w:p>
    <w:p>
      <w:pPr>
        <w:pStyle w:val="Heading3"/>
        <w:bidi/>
        <w:jc w:val="right"/>
        <w:spacing w:after="110" w:line="330" w:lineRule="auto"/>
        <w:keepNext/>
      </w:pPr>
      <w:r>
        <w:rPr>
          <w:b/>
          <w:sz w:val="20"/>
          <w:szCs w:val="20"/>
          <w:rFonts w:ascii="Arial" w:hAnsi="Arial" w:cs="Noto Naskh Arabic"/>
        </w:rPr>
        <w:t xml:space="preserve">۲۹. نواقص تحریری</w:t>
      </w:r>
    </w:p>
    <w:p>
      <w:pPr>
        <w:bidi/>
        <w:jc w:val="right"/>
        <w:spacing w:after="110" w:line="330" w:lineRule="auto"/>
      </w:pPr>
      <w:r>
        <w:rPr>
          <w:sz w:val="22"/>
          <w:szCs w:val="22"/>
          <w:rFonts w:ascii="Arial" w:hAnsi="Arial" w:cs="Noto Naskh Arabic"/>
        </w:rPr>
        <w:t xml:space="preserve">• شماره بخش strengths و limitations با ارجاعات داخلی 4.7 سازگار نیست.</w:t>
      </w:r>
    </w:p>
    <w:p>
      <w:pPr>
        <w:bidi/>
        <w:jc w:val="right"/>
        <w:spacing w:after="110" w:line="330" w:lineRule="auto"/>
      </w:pPr>
      <w:r>
        <w:rPr>
          <w:sz w:val="22"/>
          <w:szCs w:val="22"/>
          <w:rFonts w:ascii="Arial" w:hAnsi="Arial" w:cs="Noto Naskh Arabic"/>
        </w:rPr>
        <w:t xml:space="preserve">• «Mean Age» باید sentence case باشد.</w:t>
      </w:r>
    </w:p>
    <w:p>
      <w:pPr>
        <w:bidi/>
        <w:jc w:val="right"/>
        <w:spacing w:after="110" w:line="330" w:lineRule="auto"/>
      </w:pPr>
      <w:r>
        <w:rPr>
          <w:sz w:val="22"/>
          <w:szCs w:val="22"/>
          <w:rFonts w:ascii="Arial" w:hAnsi="Arial" w:cs="Noto Naskh Arabic"/>
        </w:rPr>
        <w:t xml:space="preserve">• در متن پزشکی انگلیسی، اعداد و واحدها یکدست شوند (30 min, 100 Hz, 200 μs).</w:t>
      </w:r>
    </w:p>
    <w:p>
      <w:pPr>
        <w:bidi/>
        <w:jc w:val="right"/>
        <w:spacing w:after="110" w:line="330" w:lineRule="auto"/>
      </w:pPr>
      <w:r>
        <w:rPr>
          <w:sz w:val="22"/>
          <w:szCs w:val="22"/>
          <w:rFonts w:ascii="Arial" w:hAnsi="Arial" w:cs="Noto Naskh Arabic"/>
        </w:rPr>
        <w:t xml:space="preserve">• authors’ contributions باید نقش‌های CRediT واقعی، نه placeholder، داشته باشد.</w:t>
      </w:r>
    </w:p>
    <w:p>
      <w:pPr>
        <w:bidi/>
        <w:jc w:val="right"/>
        <w:spacing w:after="110" w:line="330" w:lineRule="auto"/>
      </w:pPr>
      <w:r>
        <w:rPr>
          <w:sz w:val="22"/>
          <w:szCs w:val="22"/>
          <w:rFonts w:ascii="Arial" w:hAnsi="Arial" w:cs="Noto Naskh Arabic"/>
        </w:rPr>
        <w:t xml:space="preserve">• funding در Acknowledgments و Funding تکرار شده است.</w:t>
      </w:r>
    </w:p>
    <w:p>
      <w:pPr>
        <w:bidi/>
        <w:jc w:val="right"/>
        <w:spacing w:after="110" w:line="330" w:lineRule="auto"/>
      </w:pPr>
      <w:r>
        <w:rPr>
          <w:sz w:val="22"/>
          <w:szCs w:val="22"/>
          <w:rFonts w:ascii="Arial" w:hAnsi="Arial" w:cs="Noto Naskh Arabic"/>
        </w:rPr>
        <w:t xml:space="preserve">• Figure 1 و Figure 2 باید واقعاً در فایل نهایی قرار گیرند و caption کامل داشته باشند.</w:t>
      </w:r>
    </w:p>
    <w:p>
      <w:pPr>
        <w:bidi/>
        <w:jc w:val="right"/>
        <w:spacing w:after="110" w:line="330" w:lineRule="auto"/>
      </w:pPr>
      <w:r>
        <w:rPr>
          <w:sz w:val="18"/>
          <w:szCs w:val="18"/>
          <w:rFonts w:ascii="Arial" w:hAnsi="Arial" w:cs="Noto Naskh Arabic"/>
        </w:rPr>
        <w:t xml:space="preserve">────────────────────────</w:t>
      </w:r>
    </w:p>
    <w:p>
      <w:pPr>
        <w:pStyle w:val="Heading2"/>
        <w:bidi/>
        <w:jc w:val="right"/>
        <w:spacing w:after="110" w:line="330" w:lineRule="auto"/>
        <w:keepNext/>
      </w:pPr>
      <w:r>
        <w:rPr>
          <w:b/>
          <w:sz w:val="24"/>
          <w:szCs w:val="24"/>
          <w:rFonts w:ascii="Arial" w:hAnsi="Arial" w:cs="Noto Naskh Arabic"/>
        </w:rPr>
        <w:t xml:space="preserve">اصلاحاتی که بدون داده خام انجام شده‌اند</w:t>
      </w:r>
    </w:p>
    <w:p>
      <w:pPr>
        <w:bidi/>
        <w:jc w:val="right"/>
        <w:spacing w:after="110" w:line="330" w:lineRule="auto"/>
      </w:pPr>
      <w:r>
        <w:rPr>
          <w:sz w:val="22"/>
          <w:szCs w:val="22"/>
          <w:rFonts w:ascii="Arial" w:hAnsi="Arial" w:cs="Noto Naskh Arabic"/>
        </w:rPr>
        <w:t xml:space="preserve">در پیش‌نویس همراه:</w:t>
      </w:r>
    </w:p>
    <w:p>
      <w:pPr>
        <w:bidi/>
        <w:jc w:val="right"/>
        <w:spacing w:after="110" w:line="330" w:lineRule="auto"/>
      </w:pPr>
      <w:r>
        <w:rPr>
          <w:sz w:val="22"/>
          <w:szCs w:val="22"/>
          <w:rFonts w:ascii="Arial" w:hAnsi="Arial" w:cs="Noto Naskh Arabic"/>
        </w:rPr>
        <w:t xml:space="preserve">• عنوان و چکیده محافظه‌کارانه بازنویسی شده‌اند؛</w:t>
      </w:r>
    </w:p>
    <w:p>
      <w:pPr>
        <w:bidi/>
        <w:jc w:val="right"/>
        <w:spacing w:after="110" w:line="330" w:lineRule="auto"/>
      </w:pPr>
      <w:r>
        <w:rPr>
          <w:sz w:val="22"/>
          <w:szCs w:val="22"/>
          <w:rFonts w:ascii="Arial" w:hAnsi="Arial" w:cs="Noto Naskh Arabic"/>
        </w:rPr>
        <w:t xml:space="preserve">• تحلیل حساسیت و جدول ۸ حذف شده‌اند؛</w:t>
      </w:r>
    </w:p>
    <w:p>
      <w:pPr>
        <w:bidi/>
        <w:jc w:val="right"/>
        <w:spacing w:after="110" w:line="330" w:lineRule="auto"/>
      </w:pPr>
      <w:r>
        <w:rPr>
          <w:sz w:val="22"/>
          <w:szCs w:val="22"/>
          <w:rFonts w:ascii="Arial" w:hAnsi="Arial" w:cs="Noto Naskh Arabic"/>
        </w:rPr>
        <w:t xml:space="preserve">• post-hoc power حذف شده است؛</w:t>
      </w:r>
    </w:p>
    <w:p>
      <w:pPr>
        <w:bidi/>
        <w:jc w:val="right"/>
        <w:spacing w:after="110" w:line="330" w:lineRule="auto"/>
      </w:pPr>
      <w:r>
        <w:rPr>
          <w:sz w:val="22"/>
          <w:szCs w:val="22"/>
          <w:rFonts w:ascii="Arial" w:hAnsi="Arial" w:cs="Noto Naskh Arabic"/>
        </w:rPr>
        <w:t xml:space="preserve">• اثربخشی از آزمون‌های درون‌گروهی استنباط نشده است؛</w:t>
      </w:r>
    </w:p>
    <w:p>
      <w:pPr>
        <w:bidi/>
        <w:jc w:val="right"/>
        <w:spacing w:after="110" w:line="330" w:lineRule="auto"/>
      </w:pPr>
      <w:r>
        <w:rPr>
          <w:sz w:val="22"/>
          <w:szCs w:val="22"/>
          <w:rFonts w:ascii="Arial" w:hAnsi="Arial" w:cs="Noto Naskh Arabic"/>
        </w:rPr>
        <w:t xml:space="preserve">• CIهای تجمیعی Welch اصلاح شده‌اند؛</w:t>
      </w:r>
    </w:p>
    <w:p>
      <w:pPr>
        <w:bidi/>
        <w:jc w:val="right"/>
        <w:spacing w:after="110" w:line="330" w:lineRule="auto"/>
      </w:pPr>
      <w:r>
        <w:rPr>
          <w:sz w:val="22"/>
          <w:szCs w:val="22"/>
          <w:rFonts w:ascii="Arial" w:hAnsi="Arial" w:cs="Noto Naskh Arabic"/>
        </w:rPr>
        <w:t xml:space="preserve">• ادعای equivalence/interchangeability حذف شده است؛</w:t>
      </w:r>
    </w:p>
    <w:p>
      <w:pPr>
        <w:bidi/>
        <w:jc w:val="right"/>
        <w:spacing w:after="110" w:line="330" w:lineRule="auto"/>
      </w:pPr>
      <w:r>
        <w:rPr>
          <w:sz w:val="22"/>
          <w:szCs w:val="22"/>
          <w:rFonts w:ascii="Arial" w:hAnsi="Arial" w:cs="Noto Naskh Arabic"/>
        </w:rPr>
        <w:t xml:space="preserve">• نتیجه‌گیری به «سیگنال مقدماتی» محدود شده است؛</w:t>
      </w:r>
    </w:p>
    <w:p>
      <w:pPr>
        <w:bidi/>
        <w:jc w:val="right"/>
        <w:spacing w:after="110" w:line="330" w:lineRule="auto"/>
      </w:pPr>
      <w:r>
        <w:rPr>
          <w:sz w:val="22"/>
          <w:szCs w:val="22"/>
          <w:rFonts w:ascii="Arial" w:hAnsi="Arial" w:cs="Noto Naskh Arabic"/>
        </w:rPr>
        <w:t xml:space="preserve">• محدودیت کورسازی، sham نامتقارن و قابلیت تعمیم برجسته شده‌اند؛</w:t>
      </w:r>
    </w:p>
    <w:p>
      <w:pPr>
        <w:bidi/>
        <w:jc w:val="right"/>
        <w:spacing w:after="110" w:line="330" w:lineRule="auto"/>
      </w:pPr>
      <w:r>
        <w:rPr>
          <w:sz w:val="22"/>
          <w:szCs w:val="22"/>
          <w:rFonts w:ascii="Arial" w:hAnsi="Arial" w:cs="Noto Naskh Arabic"/>
        </w:rPr>
        <w:t xml:space="preserve">• Table 9 و مکانیسم‌پردازی ناشی از الگوی آزمون‌نشده حذف شده‌اند؛</w:t>
      </w:r>
    </w:p>
    <w:p>
      <w:pPr>
        <w:bidi/>
        <w:jc w:val="right"/>
        <w:spacing w:after="110" w:line="330" w:lineRule="auto"/>
      </w:pPr>
      <w:r>
        <w:rPr>
          <w:sz w:val="22"/>
          <w:szCs w:val="22"/>
          <w:rFonts w:ascii="Arial" w:hAnsi="Arial" w:cs="Noto Naskh Arabic"/>
        </w:rPr>
        <w:t xml:space="preserve">• جمله‌های تکراری و دفاعی کوتاه شده‌اند.</w:t>
      </w:r>
    </w:p>
    <w:p>
      <w:pPr>
        <w:pStyle w:val="Heading2"/>
        <w:bidi/>
        <w:jc w:val="right"/>
        <w:spacing w:after="110" w:line="330" w:lineRule="auto"/>
        <w:keepNext/>
      </w:pPr>
      <w:r>
        <w:rPr>
          <w:b/>
          <w:sz w:val="24"/>
          <w:szCs w:val="24"/>
          <w:rFonts w:ascii="Arial" w:hAnsi="Arial" w:cs="Noto Naskh Arabic"/>
        </w:rPr>
        <w:t xml:space="preserve">مواردی که فقط نویسندگان می‌توانند اصلاح کنند</w:t>
      </w:r>
    </w:p>
    <w:p>
      <w:pPr>
        <w:bidi/>
        <w:jc w:val="right"/>
        <w:spacing w:after="110" w:line="330" w:lineRule="auto"/>
      </w:pPr>
      <w:r>
        <w:rPr>
          <w:sz w:val="22"/>
          <w:szCs w:val="22"/>
          <w:rFonts w:ascii="Arial" w:hAnsi="Arial" w:cs="Noto Naskh Arabic"/>
        </w:rPr>
        <w:t xml:space="preserve">1. شماره‌ها و تاریخ‌های واقعی اخلاق و IRCT؛</w:t>
      </w:r>
    </w:p>
    <w:p>
      <w:pPr>
        <w:bidi/>
        <w:jc w:val="right"/>
        <w:spacing w:after="110" w:line="330" w:lineRule="auto"/>
      </w:pPr>
      <w:r>
        <w:rPr>
          <w:sz w:val="22"/>
          <w:szCs w:val="22"/>
          <w:rFonts w:ascii="Arial" w:hAnsi="Arial" w:cs="Noto Naskh Arabic"/>
        </w:rPr>
        <w:t xml:space="preserve">2. توالی و لاگ واقعی تصادفی‌سازی؛</w:t>
      </w:r>
    </w:p>
    <w:p>
      <w:pPr>
        <w:bidi/>
        <w:jc w:val="right"/>
        <w:spacing w:after="110" w:line="330" w:lineRule="auto"/>
      </w:pPr>
      <w:r>
        <w:rPr>
          <w:sz w:val="22"/>
          <w:szCs w:val="22"/>
          <w:rFonts w:ascii="Arial" w:hAnsi="Arial" w:cs="Noto Naskh Arabic"/>
        </w:rPr>
        <w:t xml:space="preserve">3. داده فردی و codebook؛</w:t>
      </w:r>
    </w:p>
    <w:p>
      <w:pPr>
        <w:bidi/>
        <w:jc w:val="right"/>
        <w:spacing w:after="110" w:line="330" w:lineRule="auto"/>
      </w:pPr>
      <w:r>
        <w:rPr>
          <w:sz w:val="22"/>
          <w:szCs w:val="22"/>
          <w:rFonts w:ascii="Arial" w:hAnsi="Arial" w:cs="Noto Naskh Arabic"/>
        </w:rPr>
        <w:t xml:space="preserve">4. بازتحلیل baseline-adjusted و longitudinal؛</w:t>
      </w:r>
    </w:p>
    <w:p>
      <w:pPr>
        <w:bidi/>
        <w:jc w:val="right"/>
        <w:spacing w:after="110" w:line="330" w:lineRule="auto"/>
      </w:pPr>
      <w:r>
        <w:rPr>
          <w:sz w:val="22"/>
          <w:szCs w:val="22"/>
          <w:rFonts w:ascii="Arial" w:hAnsi="Arial" w:cs="Noto Naskh Arabic"/>
        </w:rPr>
        <w:t xml:space="preserve">5. خروجی کامل حدس گروه برای تحلیل کورسازی؛</w:t>
      </w:r>
    </w:p>
    <w:p>
      <w:pPr>
        <w:bidi/>
        <w:jc w:val="right"/>
        <w:spacing w:after="110" w:line="330" w:lineRule="auto"/>
      </w:pPr>
      <w:r>
        <w:rPr>
          <w:sz w:val="22"/>
          <w:szCs w:val="22"/>
          <w:rFonts w:ascii="Arial" w:hAnsi="Arial" w:cs="Noto Naskh Arabic"/>
        </w:rPr>
        <w:t xml:space="preserve">6. جزئیات دستگاه، الکترود و شدت واقعی؛</w:t>
      </w:r>
    </w:p>
    <w:p>
      <w:pPr>
        <w:bidi/>
        <w:jc w:val="right"/>
        <w:spacing w:after="110" w:line="330" w:lineRule="auto"/>
      </w:pPr>
      <w:r>
        <w:rPr>
          <w:sz w:val="22"/>
          <w:szCs w:val="22"/>
          <w:rFonts w:ascii="Arial" w:hAnsi="Arial" w:cs="Noto Naskh Arabic"/>
        </w:rPr>
        <w:t xml:space="preserve">7. تاریخ‌های جذب، ویژگی‌های بالینی پایه و diary completeness؛</w:t>
      </w:r>
    </w:p>
    <w:p>
      <w:pPr>
        <w:bidi/>
        <w:jc w:val="right"/>
        <w:spacing w:after="110" w:line="330" w:lineRule="auto"/>
      </w:pPr>
      <w:r>
        <w:rPr>
          <w:sz w:val="22"/>
          <w:szCs w:val="22"/>
          <w:rFonts w:ascii="Arial" w:hAnsi="Arial" w:cs="Noto Naskh Arabic"/>
        </w:rPr>
        <w:t xml:space="preserve">8. نسخه‌های معتبر ابزارها و scoring؛</w:t>
      </w:r>
    </w:p>
    <w:p>
      <w:pPr>
        <w:bidi/>
        <w:jc w:val="right"/>
        <w:spacing w:after="110" w:line="330" w:lineRule="auto"/>
      </w:pPr>
      <w:r>
        <w:rPr>
          <w:sz w:val="22"/>
          <w:szCs w:val="22"/>
          <w:rFonts w:ascii="Arial" w:hAnsi="Arial" w:cs="Noto Naskh Arabic"/>
        </w:rPr>
        <w:t xml:space="preserve">9. لاگ پایبندی و اطلاعات کامل عوارض؛</w:t>
      </w:r>
    </w:p>
    <w:p>
      <w:pPr>
        <w:bidi/>
        <w:jc w:val="right"/>
        <w:spacing w:after="110" w:line="330" w:lineRule="auto"/>
      </w:pPr>
      <w:r>
        <w:rPr>
          <w:sz w:val="22"/>
          <w:szCs w:val="22"/>
          <w:rFonts w:ascii="Arial" w:hAnsi="Arial" w:cs="Noto Naskh Arabic"/>
        </w:rPr>
        <w:t xml:space="preserve">10. پروتکل، SAP و تاریخ همه تغییرات.</w:t>
      </w:r>
    </w:p>
    <w:p>
      <w:pPr>
        <w:bidi/>
        <w:jc w:val="right"/>
        <w:spacing w:after="110" w:line="330" w:lineRule="auto"/>
      </w:pPr>
      <w:r>
        <w:rPr>
          <w:sz w:val="22"/>
          <w:szCs w:val="22"/>
          <w:rFonts w:ascii="Arial" w:hAnsi="Arial" w:cs="Noto Naskh Arabic"/>
        </w:rPr>
        <w:t xml:space="preserve">بدون این موارد، هیچ نسخه‌ای نباید خود را یک کارآزمایی قطعی Q1-ready معرفی کند.</w:t>
      </w:r>
    </w:p>
    <w:p>
      <w:pPr>
        <w:bidi/>
        <w:jc w:val="right"/>
        <w:spacing w:after="110" w:line="330" w:lineRule="auto"/>
      </w:pPr>
      <w:r>
        <w:rPr>
          <w:sz w:val="18"/>
          <w:szCs w:val="18"/>
          <w:rFonts w:ascii="Arial" w:hAnsi="Arial" w:cs="Noto Naskh Arabic"/>
        </w:rPr>
        <w:t xml:space="preserve">────────────────────────</w:t>
      </w:r>
    </w:p>
    <w:p>
      <w:pPr>
        <w:pStyle w:val="Heading2"/>
        <w:bidi/>
        <w:jc w:val="right"/>
        <w:spacing w:after="110" w:line="330" w:lineRule="auto"/>
        <w:keepNext/>
      </w:pPr>
      <w:r>
        <w:rPr>
          <w:b/>
          <w:sz w:val="24"/>
          <w:szCs w:val="24"/>
          <w:rFonts w:ascii="Arial" w:hAnsi="Arial" w:cs="Noto Naskh Arabic"/>
        </w:rPr>
        <w:t xml:space="preserve">توصیه نهایی به سردبیر</w:t>
      </w:r>
    </w:p>
    <w:p>
      <w:pPr>
        <w:bidi/>
        <w:jc w:val="right"/>
        <w:spacing w:after="110" w:line="330" w:lineRule="auto"/>
      </w:pPr>
      <w:r>
        <w:rPr>
          <w:sz w:val="22"/>
          <w:szCs w:val="22"/>
          <w:rFonts w:ascii="Arial" w:hAnsi="Arial" w:cs="Noto Naskh Arabic"/>
        </w:rPr>
        <w:t xml:space="preserve">مقاله در شکل فعلی برای پذیرش یا major revision معمول مناسب نیست، زیرا بخشی از اصلاحات نیازمند راستی‌آزمایی منشأ مطالعه و بازتحلیل داده خام است. تصمیم مناسب Reject with invitation to resubmit after data and protocol audit است. در صورت ارائه مدارک معتبر و بازتحلیل مستقل، موضوع پژوهش ارزش ارزیابی مجدد دارد.</w:t>
      </w:r>
    </w:p>
    <w:p>
      <w:r>
        <w:br w:type="page"/>
      </w:r>
    </w:p>
    <w:p>
      <w:pPr>
        <w:pStyle w:val="Title"/>
        <w:bidi/>
        <w:jc w:val="right"/>
        <w:spacing w:after="110" w:line="330" w:lineRule="auto"/>
        <w:keepNext/>
      </w:pPr>
      <w:r>
        <w:rPr>
          <w:b/>
          <w:sz w:val="36"/>
          <w:szCs w:val="36"/>
          <w:rFonts w:ascii="Arial" w:hAnsi="Arial" w:cs="Noto Naskh Arabic"/>
        </w:rPr>
        <w:t xml:space="preserve">ممیزی و به‌روزرسانی منابع</w:t>
      </w:r>
    </w:p>
    <w:p>
      <w:pPr>
        <w:pStyle w:val="Heading1"/>
        <w:bidi/>
        <w:jc w:val="right"/>
        <w:spacing w:after="110" w:line="330" w:lineRule="auto"/>
        <w:keepNext/>
      </w:pPr>
      <w:r>
        <w:rPr>
          <w:b/>
          <w:sz w:val="28"/>
          <w:szCs w:val="28"/>
          <w:rFonts w:ascii="Arial" w:hAnsi="Arial" w:cs="Noto Naskh Arabic"/>
        </w:rPr>
        <w:t xml:space="preserve">ممیزی رفرنس‌های مقاله</w:t>
      </w:r>
    </w:p>
    <w:p>
      <w:pPr>
        <w:pStyle w:val="Heading2"/>
        <w:bidi/>
        <w:jc w:val="right"/>
        <w:spacing w:after="110" w:line="330" w:lineRule="auto"/>
        <w:keepNext/>
      </w:pPr>
      <w:r>
        <w:rPr>
          <w:b/>
          <w:sz w:val="24"/>
          <w:szCs w:val="24"/>
          <w:rFonts w:ascii="Arial" w:hAnsi="Arial" w:cs="Noto Naskh Arabic"/>
        </w:rPr>
        <w:t xml:space="preserve">جمع‌بندی</w:t>
      </w:r>
    </w:p>
    <w:p>
      <w:pPr>
        <w:bidi/>
        <w:jc w:val="right"/>
        <w:spacing w:after="110" w:line="330" w:lineRule="auto"/>
      </w:pPr>
      <w:r>
        <w:rPr>
          <w:sz w:val="22"/>
          <w:szCs w:val="22"/>
          <w:rFonts w:ascii="Arial" w:hAnsi="Arial" w:cs="Noto Naskh Arabic"/>
        </w:rPr>
        <w:t xml:space="preserve">هر ۴۰ رفرنس نسخه ارسالی از نظر مشخصات کتاب‌شناختی و تناسب با ادعای متن بررسی شد.</w:t>
      </w:r>
    </w:p>
    <w:p>
      <w:pPr>
        <w:bidi/>
        <w:jc w:val="right"/>
        <w:spacing w:after="110" w:line="330" w:lineRule="auto"/>
      </w:pPr>
      <w:r>
        <w:rPr>
          <w:sz w:val="22"/>
          <w:szCs w:val="22"/>
          <w:rFonts w:ascii="Arial" w:hAnsi="Arial" w:cs="Noto Naskh Arabic"/>
        </w:rPr>
        <w:t xml:space="preserve">• قطعاً غلط: رفرنس‌های ۳۱ و ۳۸.</w:t>
      </w:r>
    </w:p>
    <w:p>
      <w:pPr>
        <w:bidi/>
        <w:jc w:val="right"/>
        <w:spacing w:after="110" w:line="330" w:lineRule="auto"/>
      </w:pPr>
      <w:r>
        <w:rPr>
          <w:sz w:val="22"/>
          <w:szCs w:val="22"/>
          <w:rFonts w:ascii="Arial" w:hAnsi="Arial" w:cs="Noto Naskh Arabic"/>
        </w:rPr>
        <w:t xml:space="preserve">• دارای خطای کتاب‌شناختی: ۴، ۷، ۸، ۹، ۱۱، ۲۱ و ۲۴.</w:t>
      </w:r>
    </w:p>
    <w:p>
      <w:pPr>
        <w:bidi/>
        <w:jc w:val="right"/>
        <w:spacing w:after="110" w:line="330" w:lineRule="auto"/>
      </w:pPr>
      <w:r>
        <w:rPr>
          <w:sz w:val="22"/>
          <w:szCs w:val="22"/>
          <w:rFonts w:ascii="Arial" w:hAnsi="Arial" w:cs="Noto Naskh Arabic"/>
        </w:rPr>
        <w:t xml:space="preserve">• به‌طور مهم بدتفسیر یا بیش‌تعمیم‌یافته: ۴، ۵، ۷، ۹، ۱۱، ۱۳، ۱۴، ۱۶، ۱۷، ۲۲–۲۴، ۲۷–۳۱، ۳۴، ۳۶، ۳۷، ۳۹ و ۴۰.</w:t>
      </w:r>
    </w:p>
    <w:p>
      <w:pPr>
        <w:bidi/>
        <w:jc w:val="right"/>
        <w:spacing w:after="110" w:line="330" w:lineRule="auto"/>
      </w:pPr>
      <w:r>
        <w:rPr>
          <w:sz w:val="22"/>
          <w:szCs w:val="22"/>
          <w:rFonts w:ascii="Arial" w:hAnsi="Arial" w:cs="Noto Naskh Arabic"/>
        </w:rPr>
        <w:t xml:space="preserve">• هیچ شاهد مستقیمی که اثربخشی TENS سطحی infraorbital در میگرن را تثبیت کند، در فهرست وجود ندارد.</w:t>
      </w:r>
    </w:p>
    <w:p>
      <w:pPr>
        <w:bidi/>
        <w:jc w:val="right"/>
        <w:spacing w:after="110" w:line="330" w:lineRule="auto"/>
      </w:pPr>
      <w:r>
        <w:rPr>
          <w:sz w:val="22"/>
          <w:szCs w:val="22"/>
          <w:rFonts w:ascii="Arial" w:hAnsi="Arial" w:cs="Noto Naskh Arabic"/>
        </w:rPr>
        <w:t xml:space="preserve">• شواهد Cefaly مربوط به دستگاه، الکترود، فرکانس و برنامه درمانی خاص است و به Novin با 100 Hz یا محل infraorbital قابل تعمیم مستقیم نیست.</w:t>
      </w:r>
    </w:p>
    <w:p>
      <w:pPr>
        <w:bidi/>
        <w:jc w:val="right"/>
        <w:spacing w:after="110" w:line="330" w:lineRule="auto"/>
      </w:pPr>
      <w:r>
        <w:rPr>
          <w:sz w:val="22"/>
          <w:szCs w:val="22"/>
          <w:rFonts w:ascii="Arial" w:hAnsi="Arial" w:cs="Noto Naskh Arabic"/>
        </w:rPr>
        <w:t xml:space="preserve">• منبع فارسی HIT-6 در مقاله DOI یک مقاله نامرتبط را دارد.</w:t>
      </w:r>
    </w:p>
    <w:p>
      <w:pPr>
        <w:pStyle w:val="Heading2"/>
        <w:bidi/>
        <w:jc w:val="right"/>
        <w:spacing w:after="110" w:line="330" w:lineRule="auto"/>
        <w:keepNext/>
      </w:pPr>
      <w:r>
        <w:rPr>
          <w:b/>
          <w:sz w:val="24"/>
          <w:szCs w:val="24"/>
          <w:rFonts w:ascii="Arial" w:hAnsi="Arial" w:cs="Noto Naskh Arabic"/>
        </w:rPr>
        <w:t xml:space="preserve">ممیزی تک‌به‌تک</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tblGrid>
      <w:tr>
        <w:tc>
          <w:tcPr>
            <w:shd w:fill="E9EFF6"/>
          </w:tcPr>
          <w:p>
            <w:pPr>
              <w:bidi/>
              <w:jc w:val="right"/>
              <w:spacing w:after="110" w:line="330" w:lineRule="auto"/>
            </w:pPr>
            <w:r>
              <w:rPr>
                <w:b/>
                <w:sz w:val="18"/>
                <w:szCs w:val="18"/>
                <w:rFonts w:ascii="Arial" w:hAnsi="Arial" w:cs="Noto Naskh Arabic"/>
              </w:rPr>
              <w:t xml:space="preserve">شماره</w:t>
            </w:r>
          </w:p>
        </w:tc>
        <w:tc>
          <w:tcPr>
            <w:shd w:fill="E9EFF6"/>
          </w:tcPr>
          <w:p>
            <w:pPr>
              <w:bidi/>
              <w:jc w:val="right"/>
              <w:spacing w:after="110" w:line="330" w:lineRule="auto"/>
            </w:pPr>
            <w:r>
              <w:rPr>
                <w:b/>
                <w:sz w:val="18"/>
                <w:szCs w:val="18"/>
                <w:rFonts w:ascii="Arial" w:hAnsi="Arial" w:cs="Noto Naskh Arabic"/>
              </w:rPr>
              <w:t xml:space="preserve">وضعیت</w:t>
            </w:r>
          </w:p>
        </w:tc>
        <w:tc>
          <w:tcPr>
            <w:shd w:fill="E9EFF6"/>
          </w:tcPr>
          <w:p>
            <w:pPr>
              <w:bidi/>
              <w:jc w:val="right"/>
              <w:spacing w:after="110" w:line="330" w:lineRule="auto"/>
            </w:pPr>
            <w:r>
              <w:rPr>
                <w:b/>
                <w:sz w:val="18"/>
                <w:szCs w:val="18"/>
                <w:rFonts w:ascii="Arial" w:hAnsi="Arial" w:cs="Noto Naskh Arabic"/>
              </w:rPr>
              <w:t xml:space="preserve">نتیجه و اقدام لازم</w:t>
            </w:r>
          </w:p>
        </w:tc>
      </w:tr>
      <w:tr>
        <w:tc>
          <w:tcPr/>
          <w:p>
            <w:pPr>
              <w:jc w:val="left"/>
              <w:spacing w:after="110" w:line="330" w:lineRule="auto"/>
            </w:pPr>
            <w:r>
              <w:rPr>
                <w:sz w:val="18"/>
                <w:szCs w:val="18"/>
                <w:rFonts w:ascii="Arial" w:hAnsi="Arial" w:cs="Noto Naskh Arabic"/>
              </w:rPr>
              <w:t xml:space="preserve">1</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GBD 2016 معتبر است؛ عبارت باید «دومین علت years lived with disability» باشد، نه دومین علت کلی disability.</w:t>
            </w:r>
          </w:p>
        </w:tc>
      </w:tr>
      <w:tr>
        <w:tc>
          <w:tcPr/>
          <w:p>
            <w:pPr>
              <w:jc w:val="left"/>
              <w:spacing w:after="110" w:line="330" w:lineRule="auto"/>
            </w:pPr>
            <w:r>
              <w:rPr>
                <w:sz w:val="18"/>
                <w:szCs w:val="18"/>
                <w:rFonts w:ascii="Arial" w:hAnsi="Arial" w:cs="Noto Naskh Arabic"/>
              </w:rPr>
              <w:t xml:space="preserve">2</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مرجع رسمی ICHD-3؛ حفظ شود.</w:t>
            </w:r>
          </w:p>
        </w:tc>
      </w:tr>
      <w:tr>
        <w:tc>
          <w:tcPr/>
          <w:p>
            <w:pPr>
              <w:jc w:val="left"/>
              <w:spacing w:after="110" w:line="330" w:lineRule="auto"/>
            </w:pPr>
            <w:r>
              <w:rPr>
                <w:sz w:val="18"/>
                <w:szCs w:val="18"/>
                <w:rFonts w:ascii="Arial" w:hAnsi="Arial" w:cs="Noto Naskh Arabic"/>
              </w:rPr>
              <w:t xml:space="preserve">3</w:t>
            </w:r>
          </w:p>
        </w:tc>
        <w:tc>
          <w:tcPr/>
          <w:p>
            <w:pPr>
              <w:bidi/>
              <w:jc w:val="right"/>
              <w:spacing w:after="110" w:line="330" w:lineRule="auto"/>
            </w:pPr>
            <w:r>
              <w:rPr>
                <w:sz w:val="18"/>
                <w:szCs w:val="18"/>
                <w:rFonts w:ascii="Arial" w:hAnsi="Arial" w:cs="Noto Naskh Arabic"/>
              </w:rPr>
              <w:t xml:space="preserve">صحیح، ادعا بیش‌ازحد اختصاصی</w:t>
            </w:r>
          </w:p>
        </w:tc>
        <w:tc>
          <w:tcPr/>
          <w:p>
            <w:pPr>
              <w:bidi/>
              <w:jc w:val="right"/>
              <w:spacing w:after="110" w:line="330" w:lineRule="auto"/>
            </w:pPr>
            <w:r>
              <w:rPr>
                <w:sz w:val="18"/>
                <w:szCs w:val="18"/>
                <w:rFonts w:ascii="Arial" w:hAnsi="Arial" w:cs="Noto Naskh Arabic"/>
              </w:rPr>
              <w:t xml:space="preserve">از شبکه‌های trigeminovascular و پردازش حسی حمایت می‌کند، نه عبارت اختصاصی «اختلال اتصال cranio-cervical». با رفرنس جدید 43 به‌روز شود.</w:t>
            </w:r>
          </w:p>
        </w:tc>
      </w:tr>
      <w:tr>
        <w:tc>
          <w:tcPr/>
          <w:p>
            <w:pPr>
              <w:jc w:val="left"/>
              <w:spacing w:after="110" w:line="330" w:lineRule="auto"/>
            </w:pPr>
            <w:r>
              <w:rPr>
                <w:sz w:val="18"/>
                <w:szCs w:val="18"/>
                <w:rFonts w:ascii="Arial" w:hAnsi="Arial" w:cs="Noto Naskh Arabic"/>
              </w:rPr>
              <w:t xml:space="preserve">4</w:t>
            </w:r>
          </w:p>
        </w:tc>
        <w:tc>
          <w:tcPr/>
          <w:p>
            <w:pPr>
              <w:bidi/>
              <w:jc w:val="right"/>
              <w:spacing w:after="110" w:line="330" w:lineRule="auto"/>
            </w:pPr>
            <w:r>
              <w:rPr>
                <w:sz w:val="18"/>
                <w:szCs w:val="18"/>
                <w:rFonts w:ascii="Arial" w:hAnsi="Arial" w:cs="Noto Naskh Arabic"/>
              </w:rPr>
              <w:t xml:space="preserve">مشخصات تقریباً صحیح، ادعا نامرتبط</w:t>
            </w:r>
          </w:p>
        </w:tc>
        <w:tc>
          <w:tcPr/>
          <w:p>
            <w:pPr>
              <w:bidi/>
              <w:jc w:val="right"/>
              <w:spacing w:after="110" w:line="330" w:lineRule="auto"/>
            </w:pPr>
            <w:r>
              <w:rPr>
                <w:sz w:val="18"/>
                <w:szCs w:val="18"/>
                <w:rFonts w:ascii="Arial" w:hAnsi="Arial" w:cs="Noto Naskh Arabic"/>
              </w:rPr>
              <w:t xml:space="preserve">نام Dahlöf به صورت CGH اصلاح شود. Landmark Study سهم ۴٫۴٪ ویزیت‌های GP را نشان نمی‌دهد؛ آن عدد حذف شود.</w:t>
            </w:r>
          </w:p>
        </w:tc>
      </w:tr>
      <w:tr>
        <w:tc>
          <w:tcPr/>
          <w:p>
            <w:pPr>
              <w:jc w:val="left"/>
              <w:spacing w:after="110" w:line="330" w:lineRule="auto"/>
            </w:pPr>
            <w:r>
              <w:rPr>
                <w:sz w:val="18"/>
                <w:szCs w:val="18"/>
                <w:rFonts w:ascii="Arial" w:hAnsi="Arial" w:cs="Noto Naskh Arabic"/>
              </w:rPr>
              <w:t xml:space="preserve">5</w:t>
            </w:r>
          </w:p>
        </w:tc>
        <w:tc>
          <w:tcPr/>
          <w:p>
            <w:pPr>
              <w:bidi/>
              <w:jc w:val="right"/>
              <w:spacing w:after="110" w:line="330" w:lineRule="auto"/>
            </w:pPr>
            <w:r>
              <w:rPr>
                <w:sz w:val="18"/>
                <w:szCs w:val="18"/>
                <w:rFonts w:ascii="Arial" w:hAnsi="Arial" w:cs="Noto Naskh Arabic"/>
              </w:rPr>
              <w:t xml:space="preserve">DOI جاافتاده و ادعا نادرست</w:t>
            </w:r>
          </w:p>
        </w:tc>
        <w:tc>
          <w:tcPr/>
          <w:p>
            <w:pPr>
              <w:bidi/>
              <w:jc w:val="right"/>
              <w:spacing w:after="110" w:line="330" w:lineRule="auto"/>
            </w:pPr>
            <w:r>
              <w:rPr>
                <w:sz w:val="18"/>
                <w:szCs w:val="18"/>
                <w:rFonts w:ascii="Arial" w:hAnsi="Arial" w:cs="Noto Naskh Arabic"/>
              </w:rPr>
              <w:t xml:space="preserve">DOI: 10.1177/1478271520063603003. مطالعه مربوط به acute admissions یک بیمارستان است؛ از «۵٪ hospital consultations» حمایت نمی‌کند.</w:t>
            </w:r>
          </w:p>
        </w:tc>
      </w:tr>
      <w:tr>
        <w:tc>
          <w:tcPr/>
          <w:p>
            <w:pPr>
              <w:jc w:val="left"/>
              <w:spacing w:after="110" w:line="330" w:lineRule="auto"/>
            </w:pPr>
            <w:r>
              <w:rPr>
                <w:sz w:val="18"/>
                <w:szCs w:val="18"/>
                <w:rFonts w:ascii="Arial" w:hAnsi="Arial" w:cs="Noto Naskh Arabic"/>
              </w:rPr>
              <w:t xml:space="preserve">6</w:t>
            </w:r>
          </w:p>
        </w:tc>
        <w:tc>
          <w:tcPr/>
          <w:p>
            <w:pPr>
              <w:bidi/>
              <w:jc w:val="right"/>
              <w:spacing w:after="110" w:line="330" w:lineRule="auto"/>
            </w:pPr>
            <w:r>
              <w:rPr>
                <w:sz w:val="18"/>
                <w:szCs w:val="18"/>
                <w:rFonts w:ascii="Arial" w:hAnsi="Arial" w:cs="Noto Naskh Arabic"/>
              </w:rPr>
              <w:t xml:space="preserve">صحیح با محدودیت دامنه</w:t>
            </w:r>
          </w:p>
        </w:tc>
        <w:tc>
          <w:tcPr/>
          <w:p>
            <w:pPr>
              <w:bidi/>
              <w:jc w:val="right"/>
              <w:spacing w:after="110" w:line="330" w:lineRule="auto"/>
            </w:pPr>
            <w:r>
              <w:rPr>
                <w:sz w:val="18"/>
                <w:szCs w:val="18"/>
                <w:rFonts w:ascii="Arial" w:hAnsi="Arial" w:cs="Noto Naskh Arabic"/>
              </w:rPr>
              <w:t xml:space="preserve">۱۹٪ ارجاعات جدید کلینیک نورولوژی اسکاتلند، نه تمام ویزیت‌های نورولوژی جهان.</w:t>
            </w:r>
          </w:p>
        </w:tc>
      </w:tr>
      <w:tr>
        <w:tc>
          <w:tcPr/>
          <w:p>
            <w:pPr>
              <w:jc w:val="left"/>
              <w:spacing w:after="110" w:line="330" w:lineRule="auto"/>
            </w:pPr>
            <w:r>
              <w:rPr>
                <w:sz w:val="18"/>
                <w:szCs w:val="18"/>
                <w:rFonts w:ascii="Arial" w:hAnsi="Arial" w:cs="Noto Naskh Arabic"/>
              </w:rPr>
              <w:t xml:space="preserve">7</w:t>
            </w:r>
          </w:p>
        </w:tc>
        <w:tc>
          <w:tcPr/>
          <w:p>
            <w:pPr>
              <w:bidi/>
              <w:jc w:val="right"/>
              <w:spacing w:after="110" w:line="330" w:lineRule="auto"/>
            </w:pPr>
            <w:r>
              <w:rPr>
                <w:sz w:val="18"/>
                <w:szCs w:val="18"/>
                <w:rFonts w:ascii="Arial" w:hAnsi="Arial" w:cs="Noto Naskh Arabic"/>
              </w:rPr>
              <w:t xml:space="preserve">قدیمی و نامتناسب</w:t>
            </w:r>
          </w:p>
        </w:tc>
        <w:tc>
          <w:tcPr/>
          <w:p>
            <w:pPr>
              <w:bidi/>
              <w:jc w:val="right"/>
              <w:spacing w:after="110" w:line="330" w:lineRule="auto"/>
            </w:pPr>
            <w:r>
              <w:rPr>
                <w:sz w:val="18"/>
                <w:szCs w:val="18"/>
                <w:rFonts w:ascii="Arial" w:hAnsi="Arial" w:cs="Noto Naskh Arabic"/>
              </w:rPr>
              <w:t xml:space="preserve">DOI: 10.1097/00019052-200206000-00011. برای prevalence دقیق اروپای غربی مناسب نیست؛ با Stovner 2022 جایگزین شود.</w:t>
            </w:r>
          </w:p>
        </w:tc>
      </w:tr>
      <w:tr>
        <w:tc>
          <w:tcPr/>
          <w:p>
            <w:pPr>
              <w:jc w:val="left"/>
              <w:spacing w:after="110" w:line="330" w:lineRule="auto"/>
            </w:pPr>
            <w:r>
              <w:rPr>
                <w:sz w:val="18"/>
                <w:szCs w:val="18"/>
                <w:rFonts w:ascii="Arial" w:hAnsi="Arial" w:cs="Noto Naskh Arabic"/>
              </w:rPr>
              <w:t xml:space="preserve">8</w:t>
            </w:r>
          </w:p>
        </w:tc>
        <w:tc>
          <w:tcPr/>
          <w:p>
            <w:pPr>
              <w:bidi/>
              <w:jc w:val="right"/>
              <w:spacing w:after="110" w:line="330" w:lineRule="auto"/>
            </w:pPr>
            <w:r>
              <w:rPr>
                <w:sz w:val="18"/>
                <w:szCs w:val="18"/>
                <w:rFonts w:ascii="Arial" w:hAnsi="Arial" w:cs="Noto Naskh Arabic"/>
              </w:rPr>
              <w:t xml:space="preserve">صحیح با اصلاح نام</w:t>
            </w:r>
          </w:p>
        </w:tc>
        <w:tc>
          <w:tcPr/>
          <w:p>
            <w:pPr>
              <w:bidi/>
              <w:jc w:val="right"/>
              <w:spacing w:after="110" w:line="330" w:lineRule="auto"/>
            </w:pPr>
            <w:r>
              <w:rPr>
                <w:sz w:val="18"/>
                <w:szCs w:val="18"/>
                <w:rFonts w:ascii="Arial" w:hAnsi="Arial" w:cs="Noto Naskh Arabic"/>
              </w:rPr>
              <w:t xml:space="preserve">Stovner LJ. برآورد chronic migraine معمولاً ۱٫۴–۲٫۲٪ است؛ عبارت «حدود ۱٪» دقیق نیست.</w:t>
            </w:r>
          </w:p>
        </w:tc>
      </w:tr>
      <w:tr>
        <w:tc>
          <w:tcPr/>
          <w:p>
            <w:pPr>
              <w:jc w:val="left"/>
              <w:spacing w:after="110" w:line="330" w:lineRule="auto"/>
            </w:pPr>
            <w:r>
              <w:rPr>
                <w:sz w:val="18"/>
                <w:szCs w:val="18"/>
                <w:rFonts w:ascii="Arial" w:hAnsi="Arial" w:cs="Noto Naskh Arabic"/>
              </w:rPr>
              <w:t xml:space="preserve">9</w:t>
            </w:r>
          </w:p>
        </w:tc>
        <w:tc>
          <w:tcPr/>
          <w:p>
            <w:pPr>
              <w:bidi/>
              <w:jc w:val="right"/>
              <w:spacing w:after="110" w:line="330" w:lineRule="auto"/>
            </w:pPr>
            <w:r>
              <w:rPr>
                <w:sz w:val="18"/>
                <w:szCs w:val="18"/>
                <w:rFonts w:ascii="Arial" w:hAnsi="Arial" w:cs="Noto Naskh Arabic"/>
              </w:rPr>
              <w:t xml:space="preserve">initials ناقص و ادعا بیش‌ازحد</w:t>
            </w:r>
          </w:p>
        </w:tc>
        <w:tc>
          <w:tcPr/>
          <w:p>
            <w:pPr>
              <w:bidi/>
              <w:jc w:val="right"/>
              <w:spacing w:after="110" w:line="330" w:lineRule="auto"/>
            </w:pPr>
            <w:r>
              <w:rPr>
                <w:sz w:val="18"/>
                <w:szCs w:val="18"/>
                <w:rFonts w:ascii="Arial" w:hAnsi="Arial" w:cs="Noto Naskh Arabic"/>
              </w:rPr>
              <w:t xml:space="preserve">از بار و ناتوانی chronic migraine حمایت می‌کند، نه مستقیماً هزینه کل نظام سلامت. برای burden از Ashina 2021 استفاده شود.</w:t>
            </w:r>
          </w:p>
        </w:tc>
      </w:tr>
      <w:tr>
        <w:tc>
          <w:tcPr/>
          <w:p>
            <w:pPr>
              <w:jc w:val="left"/>
              <w:spacing w:after="110" w:line="330" w:lineRule="auto"/>
            </w:pPr>
            <w:r>
              <w:rPr>
                <w:sz w:val="18"/>
                <w:szCs w:val="18"/>
                <w:rFonts w:ascii="Arial" w:hAnsi="Arial" w:cs="Noto Naskh Arabic"/>
              </w:rPr>
              <w:t xml:space="preserve">10</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از medication-overuse headache حمایت می‌کند، نه تمام ادعاهای عارضه و عدم پایبندی داروهای پیشگیرانه؛ با Ashina 2023 به‌روز شود.</w:t>
            </w:r>
          </w:p>
        </w:tc>
      </w:tr>
      <w:tr>
        <w:tc>
          <w:tcPr/>
          <w:p>
            <w:pPr>
              <w:jc w:val="left"/>
              <w:spacing w:after="110" w:line="330" w:lineRule="auto"/>
            </w:pPr>
            <w:r>
              <w:rPr>
                <w:sz w:val="18"/>
                <w:szCs w:val="18"/>
                <w:rFonts w:ascii="Arial" w:hAnsi="Arial" w:cs="Noto Naskh Arabic"/>
              </w:rPr>
              <w:t xml:space="preserve">11</w:t>
            </w:r>
          </w:p>
        </w:tc>
        <w:tc>
          <w:tcPr/>
          <w:p>
            <w:pPr>
              <w:bidi/>
              <w:jc w:val="right"/>
              <w:spacing w:after="110" w:line="330" w:lineRule="auto"/>
            </w:pPr>
            <w:r>
              <w:rPr>
                <w:sz w:val="18"/>
                <w:szCs w:val="18"/>
                <w:rFonts w:ascii="Arial" w:hAnsi="Arial" w:cs="Noto Naskh Arabic"/>
              </w:rPr>
              <w:t xml:space="preserve">صفحات غلط و قدیمی</w:t>
            </w:r>
          </w:p>
        </w:tc>
        <w:tc>
          <w:tcPr/>
          <w:p>
            <w:pPr>
              <w:bidi/>
              <w:jc w:val="right"/>
              <w:spacing w:after="110" w:line="330" w:lineRule="auto"/>
            </w:pPr>
            <w:r>
              <w:rPr>
                <w:sz w:val="18"/>
                <w:szCs w:val="18"/>
                <w:rFonts w:ascii="Arial" w:hAnsi="Arial" w:cs="Noto Naskh Arabic"/>
              </w:rPr>
              <w:t xml:space="preserve">صفحات صحیح 269–276، نه 269–278؛ DOI صحیح است. مرور تاریخی است و شاهد اثربخشی نیست.</w:t>
            </w:r>
          </w:p>
        </w:tc>
      </w:tr>
      <w:tr>
        <w:tc>
          <w:tcPr/>
          <w:p>
            <w:pPr>
              <w:jc w:val="left"/>
              <w:spacing w:after="110" w:line="330" w:lineRule="auto"/>
            </w:pPr>
            <w:r>
              <w:rPr>
                <w:sz w:val="18"/>
                <w:szCs w:val="18"/>
                <w:rFonts w:ascii="Arial" w:hAnsi="Arial" w:cs="Noto Naskh Arabic"/>
              </w:rPr>
              <w:t xml:space="preserve">12</w:t>
            </w:r>
          </w:p>
        </w:tc>
        <w:tc>
          <w:tcPr/>
          <w:p>
            <w:pPr>
              <w:bidi/>
              <w:jc w:val="right"/>
              <w:spacing w:after="110" w:line="330" w:lineRule="auto"/>
            </w:pPr>
            <w:r>
              <w:rPr>
                <w:sz w:val="18"/>
                <w:szCs w:val="18"/>
                <w:rFonts w:ascii="Arial" w:hAnsi="Arial" w:cs="Noto Naskh Arabic"/>
              </w:rPr>
              <w:t xml:space="preserve">صحیح، غیرمستقیم</w:t>
            </w:r>
          </w:p>
        </w:tc>
        <w:tc>
          <w:tcPr/>
          <w:p>
            <w:pPr>
              <w:bidi/>
              <w:jc w:val="right"/>
              <w:spacing w:after="110" w:line="330" w:lineRule="auto"/>
            </w:pPr>
            <w:r>
              <w:rPr>
                <w:sz w:val="18"/>
                <w:szCs w:val="18"/>
                <w:rFonts w:ascii="Arial" w:hAnsi="Arial" w:cs="Noto Naskh Arabic"/>
              </w:rPr>
              <w:t xml:space="preserve">مرور ناهمگن مداخلات محیطی؛ برابری شاخه‌ها یا پروتکل‌ها را نشان نمی‌دهد.</w:t>
            </w:r>
          </w:p>
        </w:tc>
      </w:tr>
      <w:tr>
        <w:tc>
          <w:tcPr/>
          <w:p>
            <w:pPr>
              <w:jc w:val="left"/>
              <w:spacing w:after="110" w:line="330" w:lineRule="auto"/>
            </w:pPr>
            <w:r>
              <w:rPr>
                <w:sz w:val="18"/>
                <w:szCs w:val="18"/>
                <w:rFonts w:ascii="Arial" w:hAnsi="Arial" w:cs="Noto Naskh Arabic"/>
              </w:rPr>
              <w:t xml:space="preserve">13</w:t>
            </w:r>
          </w:p>
        </w:tc>
        <w:tc>
          <w:tcPr/>
          <w:p>
            <w:pPr>
              <w:bidi/>
              <w:jc w:val="right"/>
              <w:spacing w:after="110" w:line="330" w:lineRule="auto"/>
            </w:pPr>
            <w:r>
              <w:rPr>
                <w:sz w:val="18"/>
                <w:szCs w:val="18"/>
                <w:rFonts w:ascii="Arial" w:hAnsi="Arial" w:cs="Noto Naskh Arabic"/>
              </w:rPr>
              <w:t xml:space="preserve">صحیح، نامتناسب با efficacy</w:t>
            </w:r>
          </w:p>
        </w:tc>
        <w:tc>
          <w:tcPr/>
          <w:p>
            <w:pPr>
              <w:bidi/>
              <w:jc w:val="right"/>
              <w:spacing w:after="110" w:line="330" w:lineRule="auto"/>
            </w:pPr>
            <w:r>
              <w:rPr>
                <w:sz w:val="18"/>
                <w:szCs w:val="18"/>
                <w:rFonts w:ascii="Arial" w:hAnsi="Arial" w:cs="Noto Naskh Arabic"/>
              </w:rPr>
              <w:t xml:space="preserve">Cochrane درد حاد ناهمگن است، نه پیشگیری میگرن یا eTNS سه‌قلو. فقط برای تعریف کلی TENS استفاده شود.</w:t>
            </w:r>
          </w:p>
        </w:tc>
      </w:tr>
      <w:tr>
        <w:tc>
          <w:tcPr/>
          <w:p>
            <w:pPr>
              <w:jc w:val="left"/>
              <w:spacing w:after="110" w:line="330" w:lineRule="auto"/>
            </w:pPr>
            <w:r>
              <w:rPr>
                <w:sz w:val="18"/>
                <w:szCs w:val="18"/>
                <w:rFonts w:ascii="Arial" w:hAnsi="Arial" w:cs="Noto Naskh Arabic"/>
              </w:rPr>
              <w:t xml:space="preserve">14</w:t>
            </w:r>
          </w:p>
        </w:tc>
        <w:tc>
          <w:tcPr/>
          <w:p>
            <w:pPr>
              <w:bidi/>
              <w:jc w:val="right"/>
              <w:spacing w:after="110" w:line="330" w:lineRule="auto"/>
            </w:pPr>
            <w:r>
              <w:rPr>
                <w:sz w:val="18"/>
                <w:szCs w:val="18"/>
                <w:rFonts w:ascii="Arial" w:hAnsi="Arial" w:cs="Noto Naskh Arabic"/>
              </w:rPr>
              <w:t xml:space="preserve">صحیح، شواهد کم‌کیفیت</w:t>
            </w:r>
          </w:p>
        </w:tc>
        <w:tc>
          <w:tcPr/>
          <w:p>
            <w:pPr>
              <w:bidi/>
              <w:jc w:val="right"/>
              <w:spacing w:after="110" w:line="330" w:lineRule="auto"/>
            </w:pPr>
            <w:r>
              <w:rPr>
                <w:sz w:val="18"/>
                <w:szCs w:val="18"/>
                <w:rFonts w:ascii="Arial" w:hAnsi="Arial" w:cs="Noto Naskh Arabic"/>
              </w:rPr>
              <w:t xml:space="preserve">متاآنالیز فقط چهار RCT و ۲۷۶ فرد؛ برای infraorbital یا پروتکل 100 Hz شاهد نیست. با منابع 44 و 46 تکمیل شود.</w:t>
            </w:r>
          </w:p>
        </w:tc>
      </w:tr>
      <w:tr>
        <w:tc>
          <w:tcPr/>
          <w:p>
            <w:pPr>
              <w:jc w:val="left"/>
              <w:spacing w:after="110" w:line="330" w:lineRule="auto"/>
            </w:pPr>
            <w:r>
              <w:rPr>
                <w:sz w:val="18"/>
                <w:szCs w:val="18"/>
                <w:rFonts w:ascii="Arial" w:hAnsi="Arial" w:cs="Noto Naskh Arabic"/>
              </w:rPr>
              <w:t xml:space="preserve">15</w:t>
            </w:r>
          </w:p>
        </w:tc>
        <w:tc>
          <w:tcPr/>
          <w:p>
            <w:pPr>
              <w:bidi/>
              <w:jc w:val="right"/>
              <w:spacing w:after="110" w:line="330" w:lineRule="auto"/>
            </w:pPr>
            <w:r>
              <w:rPr>
                <w:sz w:val="18"/>
                <w:szCs w:val="18"/>
                <w:rFonts w:ascii="Arial" w:hAnsi="Arial" w:cs="Noto Naskh Arabic"/>
              </w:rPr>
              <w:t xml:space="preserve">صحیح و کلیدی</w:t>
            </w:r>
          </w:p>
        </w:tc>
        <w:tc>
          <w:tcPr/>
          <w:p>
            <w:pPr>
              <w:bidi/>
              <w:jc w:val="right"/>
              <w:spacing w:after="110" w:line="330" w:lineRule="auto"/>
            </w:pPr>
            <w:r>
              <w:rPr>
                <w:sz w:val="18"/>
                <w:szCs w:val="18"/>
                <w:rFonts w:ascii="Arial" w:hAnsi="Arial" w:cs="Noto Naskh Arabic"/>
              </w:rPr>
              <w:t xml:space="preserve">PREMICE حفظ شود، اما device-specific است: 60 Hz، 250 μs، حداکثر 16 mA، روزانه ۲۰ دقیقه برای سه ماه؛ با پروتکل مقاله متفاوت است.</w:t>
            </w:r>
          </w:p>
        </w:tc>
      </w:tr>
      <w:tr>
        <w:tc>
          <w:tcPr/>
          <w:p>
            <w:pPr>
              <w:jc w:val="left"/>
              <w:spacing w:after="110" w:line="330" w:lineRule="auto"/>
            </w:pPr>
            <w:r>
              <w:rPr>
                <w:sz w:val="18"/>
                <w:szCs w:val="18"/>
                <w:rFonts w:ascii="Arial" w:hAnsi="Arial" w:cs="Noto Naskh Arabic"/>
              </w:rPr>
              <w:t xml:space="preserve">16</w:t>
            </w:r>
          </w:p>
        </w:tc>
        <w:tc>
          <w:tcPr/>
          <w:p>
            <w:pPr>
              <w:bidi/>
              <w:jc w:val="right"/>
              <w:spacing w:after="110" w:line="330" w:lineRule="auto"/>
            </w:pPr>
            <w:r>
              <w:rPr>
                <w:sz w:val="18"/>
                <w:szCs w:val="18"/>
                <w:rFonts w:ascii="Arial" w:hAnsi="Arial" w:cs="Noto Naskh Arabic"/>
              </w:rPr>
              <w:t xml:space="preserve">صحیح ولی بدتفسیر</w:t>
            </w:r>
          </w:p>
        </w:tc>
        <w:tc>
          <w:tcPr/>
          <w:p>
            <w:pPr>
              <w:bidi/>
              <w:jc w:val="right"/>
              <w:spacing w:after="110" w:line="330" w:lineRule="auto"/>
            </w:pPr>
            <w:r>
              <w:rPr>
                <w:sz w:val="18"/>
                <w:szCs w:val="18"/>
                <w:rFonts w:ascii="Arial" w:hAnsi="Arial" w:cs="Noto Naskh Arabic"/>
              </w:rPr>
              <w:t xml:space="preserve">survey بدون کنترل برای ایمنی/رضایت است، نه efficacy. فقط در بخش tolerability استفاده شود.</w:t>
            </w:r>
          </w:p>
        </w:tc>
      </w:tr>
      <w:tr>
        <w:tc>
          <w:tcPr/>
          <w:p>
            <w:pPr>
              <w:jc w:val="left"/>
              <w:spacing w:after="110" w:line="330" w:lineRule="auto"/>
            </w:pPr>
            <w:r>
              <w:rPr>
                <w:sz w:val="18"/>
                <w:szCs w:val="18"/>
                <w:rFonts w:ascii="Arial" w:hAnsi="Arial" w:cs="Noto Naskh Arabic"/>
              </w:rPr>
              <w:t xml:space="preserve">17</w:t>
            </w:r>
          </w:p>
        </w:tc>
        <w:tc>
          <w:tcPr/>
          <w:p>
            <w:pPr>
              <w:jc w:val="left"/>
              <w:spacing w:after="110" w:line="330" w:lineRule="auto"/>
            </w:pPr>
            <w:r>
              <w:rPr>
                <w:sz w:val="18"/>
                <w:szCs w:val="18"/>
                <w:rFonts w:ascii="Arial" w:hAnsi="Arial" w:cs="Noto Naskh Arabic"/>
              </w:rPr>
              <w:t xml:space="preserve">abstract-only</w:t>
            </w:r>
          </w:p>
        </w:tc>
        <w:tc>
          <w:tcPr/>
          <w:p>
            <w:pPr>
              <w:bidi/>
              <w:jc w:val="right"/>
              <w:spacing w:after="110" w:line="330" w:lineRule="auto"/>
            </w:pPr>
            <w:r>
              <w:rPr>
                <w:sz w:val="18"/>
                <w:szCs w:val="18"/>
                <w:rFonts w:ascii="Arial" w:hAnsi="Arial" w:cs="Noto Naskh Arabic"/>
              </w:rPr>
              <w:t xml:space="preserve">گزارش یک‌صفحه‌ای/همایشی، بدون مقاله کامل قابل ارزیابی؛ از زنجیره شواهد اثربخشی حذف شود.</w:t>
            </w:r>
          </w:p>
        </w:tc>
      </w:tr>
      <w:tr>
        <w:tc>
          <w:tcPr/>
          <w:p>
            <w:pPr>
              <w:jc w:val="left"/>
              <w:spacing w:after="110" w:line="330" w:lineRule="auto"/>
            </w:pPr>
            <w:r>
              <w:rPr>
                <w:sz w:val="18"/>
                <w:szCs w:val="18"/>
                <w:rFonts w:ascii="Arial" w:hAnsi="Arial" w:cs="Noto Naskh Arabic"/>
              </w:rPr>
              <w:t xml:space="preserve">18</w:t>
            </w:r>
          </w:p>
        </w:tc>
        <w:tc>
          <w:tcPr/>
          <w:p>
            <w:pPr>
              <w:bidi/>
              <w:jc w:val="right"/>
              <w:spacing w:after="110" w:line="330" w:lineRule="auto"/>
            </w:pPr>
            <w:r>
              <w:rPr>
                <w:sz w:val="18"/>
                <w:szCs w:val="18"/>
                <w:rFonts w:ascii="Arial" w:hAnsi="Arial" w:cs="Noto Naskh Arabic"/>
              </w:rPr>
              <w:t xml:space="preserve">صحیح، uncontrolled</w:t>
            </w:r>
          </w:p>
        </w:tc>
        <w:tc>
          <w:tcPr/>
          <w:p>
            <w:pPr>
              <w:bidi/>
              <w:jc w:val="right"/>
              <w:spacing w:after="110" w:line="330" w:lineRule="auto"/>
            </w:pPr>
            <w:r>
              <w:rPr>
                <w:sz w:val="18"/>
                <w:szCs w:val="18"/>
                <w:rFonts w:ascii="Arial" w:hAnsi="Arial" w:cs="Noto Naskh Arabic"/>
              </w:rPr>
              <w:t xml:space="preserve">مطالعه اکتشافی کوچک و بدون sham؛ فقط با ذکر محدودیت استفاده شود.</w:t>
            </w:r>
          </w:p>
        </w:tc>
      </w:tr>
      <w:tr>
        <w:tc>
          <w:tcPr/>
          <w:p>
            <w:pPr>
              <w:jc w:val="left"/>
              <w:spacing w:after="110" w:line="330" w:lineRule="auto"/>
            </w:pPr>
            <w:r>
              <w:rPr>
                <w:sz w:val="18"/>
                <w:szCs w:val="18"/>
                <w:rFonts w:ascii="Arial" w:hAnsi="Arial" w:cs="Noto Naskh Arabic"/>
              </w:rPr>
              <w:t xml:space="preserve">19</w:t>
            </w:r>
          </w:p>
        </w:tc>
        <w:tc>
          <w:tcPr/>
          <w:p>
            <w:pPr>
              <w:bidi/>
              <w:jc w:val="right"/>
              <w:spacing w:after="110" w:line="330" w:lineRule="auto"/>
            </w:pPr>
            <w:r>
              <w:rPr>
                <w:sz w:val="18"/>
                <w:szCs w:val="18"/>
                <w:rFonts w:ascii="Arial" w:hAnsi="Arial" w:cs="Noto Naskh Arabic"/>
              </w:rPr>
              <w:t xml:space="preserve">صحیح، uncontrolled</w:t>
            </w:r>
          </w:p>
        </w:tc>
        <w:tc>
          <w:tcPr/>
          <w:p>
            <w:pPr>
              <w:bidi/>
              <w:jc w:val="right"/>
              <w:spacing w:after="110" w:line="330" w:lineRule="auto"/>
            </w:pPr>
            <w:r>
              <w:rPr>
                <w:sz w:val="18"/>
                <w:szCs w:val="18"/>
                <w:rFonts w:ascii="Arial" w:hAnsi="Arial" w:cs="Noto Naskh Arabic"/>
              </w:rPr>
              <w:t xml:space="preserve">تجربه بالینی اکتشافی ۳۵ نفره؛ شاهد تأییدی نیست.</w:t>
            </w:r>
          </w:p>
        </w:tc>
      </w:tr>
      <w:tr>
        <w:tc>
          <w:tcPr/>
          <w:p>
            <w:pPr>
              <w:jc w:val="left"/>
              <w:spacing w:after="110" w:line="330" w:lineRule="auto"/>
            </w:pPr>
            <w:r>
              <w:rPr>
                <w:sz w:val="18"/>
                <w:szCs w:val="18"/>
                <w:rFonts w:ascii="Arial" w:hAnsi="Arial" w:cs="Noto Naskh Arabic"/>
              </w:rPr>
              <w:t xml:space="preserve">20</w:t>
            </w:r>
          </w:p>
        </w:tc>
        <w:tc>
          <w:tcPr/>
          <w:p>
            <w:pPr>
              <w:bidi/>
              <w:jc w:val="right"/>
              <w:spacing w:after="110" w:line="330" w:lineRule="auto"/>
            </w:pPr>
            <w:r>
              <w:rPr>
                <w:sz w:val="18"/>
                <w:szCs w:val="18"/>
                <w:rFonts w:ascii="Arial" w:hAnsi="Arial" w:cs="Noto Naskh Arabic"/>
              </w:rPr>
              <w:t xml:space="preserve">صحیح، open-label</w:t>
            </w:r>
          </w:p>
        </w:tc>
        <w:tc>
          <w:tcPr/>
          <w:p>
            <w:pPr>
              <w:bidi/>
              <w:jc w:val="right"/>
              <w:spacing w:after="110" w:line="330" w:lineRule="auto"/>
            </w:pPr>
            <w:r>
              <w:rPr>
                <w:sz w:val="18"/>
                <w:szCs w:val="18"/>
                <w:rFonts w:ascii="Arial" w:hAnsi="Arial" w:cs="Noto Naskh Arabic"/>
              </w:rPr>
              <w:t xml:space="preserve">پایلوت chronic migraine بدون کنترل؛ hypothesis-generating است.</w:t>
            </w:r>
          </w:p>
        </w:tc>
      </w:tr>
      <w:tr>
        <w:tc>
          <w:tcPr/>
          <w:p>
            <w:pPr>
              <w:jc w:val="left"/>
              <w:spacing w:after="110" w:line="330" w:lineRule="auto"/>
            </w:pPr>
            <w:r>
              <w:rPr>
                <w:sz w:val="18"/>
                <w:szCs w:val="18"/>
                <w:rFonts w:ascii="Arial" w:hAnsi="Arial" w:cs="Noto Naskh Arabic"/>
              </w:rPr>
              <w:t xml:space="preserve">21</w:t>
            </w:r>
          </w:p>
        </w:tc>
        <w:tc>
          <w:tcPr/>
          <w:p>
            <w:pPr>
              <w:bidi/>
              <w:jc w:val="right"/>
              <w:spacing w:after="110" w:line="330" w:lineRule="auto"/>
            </w:pPr>
            <w:r>
              <w:rPr>
                <w:sz w:val="18"/>
                <w:szCs w:val="18"/>
                <w:rFonts w:ascii="Arial" w:hAnsi="Arial" w:cs="Noto Naskh Arabic"/>
              </w:rPr>
              <w:t xml:space="preserve">صفحات غلط</w:t>
            </w:r>
          </w:p>
        </w:tc>
        <w:tc>
          <w:tcPr/>
          <w:p>
            <w:pPr>
              <w:bidi/>
              <w:jc w:val="right"/>
              <w:spacing w:after="110" w:line="330" w:lineRule="auto"/>
            </w:pPr>
            <w:r>
              <w:rPr>
                <w:sz w:val="18"/>
                <w:szCs w:val="18"/>
                <w:rFonts w:ascii="Arial" w:hAnsi="Arial" w:cs="Noto Naskh Arabic"/>
              </w:rPr>
              <w:t xml:space="preserve">صفحات صحیح 509–533؛ DOI: 10.1080/14737175.2019.1615447. مرور است، نه clinical study.</w:t>
            </w:r>
          </w:p>
        </w:tc>
      </w:tr>
      <w:tr>
        <w:tc>
          <w:tcPr/>
          <w:p>
            <w:pPr>
              <w:jc w:val="left"/>
              <w:spacing w:after="110" w:line="330" w:lineRule="auto"/>
            </w:pPr>
            <w:r>
              <w:rPr>
                <w:sz w:val="18"/>
                <w:szCs w:val="18"/>
                <w:rFonts w:ascii="Arial" w:hAnsi="Arial" w:cs="Noto Naskh Arabic"/>
              </w:rPr>
              <w:t xml:space="preserve">22</w:t>
            </w:r>
          </w:p>
        </w:tc>
        <w:tc>
          <w:tcPr/>
          <w:p>
            <w:pPr>
              <w:bidi/>
              <w:jc w:val="right"/>
              <w:spacing w:after="110" w:line="330" w:lineRule="auto"/>
            </w:pPr>
            <w:r>
              <w:rPr>
                <w:sz w:val="18"/>
                <w:szCs w:val="18"/>
                <w:rFonts w:ascii="Arial" w:hAnsi="Arial" w:cs="Noto Naskh Arabic"/>
              </w:rPr>
              <w:t xml:space="preserve">صحیح، تفسیر نادقیق</w:t>
            </w:r>
          </w:p>
        </w:tc>
        <w:tc>
          <w:tcPr/>
          <w:p>
            <w:pPr>
              <w:bidi/>
              <w:jc w:val="right"/>
              <w:spacing w:after="110" w:line="330" w:lineRule="auto"/>
            </w:pPr>
            <w:r>
              <w:rPr>
                <w:sz w:val="18"/>
                <w:szCs w:val="18"/>
                <w:rFonts w:ascii="Arial" w:hAnsi="Arial" w:cs="Noto Naskh Arabic"/>
              </w:rPr>
              <w:t xml:space="preserve">مطالعه occipital TENS است و برتری منسجم یک فرکانس را نشان نداد؛ نباید نتیجه گرفت settings قطعاً outcome را تغییر می‌دهد.</w:t>
            </w:r>
          </w:p>
        </w:tc>
      </w:tr>
      <w:tr>
        <w:tc>
          <w:tcPr/>
          <w:p>
            <w:pPr>
              <w:jc w:val="left"/>
              <w:spacing w:after="110" w:line="330" w:lineRule="auto"/>
            </w:pPr>
            <w:r>
              <w:rPr>
                <w:sz w:val="18"/>
                <w:szCs w:val="18"/>
                <w:rFonts w:ascii="Arial" w:hAnsi="Arial" w:cs="Noto Naskh Arabic"/>
              </w:rPr>
              <w:t xml:space="preserve">23</w:t>
            </w:r>
          </w:p>
        </w:tc>
        <w:tc>
          <w:tcPr/>
          <w:p>
            <w:pPr>
              <w:bidi/>
              <w:jc w:val="right"/>
              <w:spacing w:after="110" w:line="330" w:lineRule="auto"/>
            </w:pPr>
            <w:r>
              <w:rPr>
                <w:sz w:val="18"/>
                <w:szCs w:val="18"/>
                <w:rFonts w:ascii="Arial" w:hAnsi="Arial" w:cs="Noto Naskh Arabic"/>
              </w:rPr>
              <w:t xml:space="preserve">صحیح، شاهد بسیار غیرمستقیم</w:t>
            </w:r>
          </w:p>
        </w:tc>
        <w:tc>
          <w:tcPr/>
          <w:p>
            <w:pPr>
              <w:bidi/>
              <w:jc w:val="right"/>
              <w:spacing w:after="110" w:line="330" w:lineRule="auto"/>
            </w:pPr>
            <w:r>
              <w:rPr>
                <w:sz w:val="18"/>
                <w:szCs w:val="18"/>
                <w:rFonts w:ascii="Arial" w:hAnsi="Arial" w:cs="Noto Naskh Arabic"/>
              </w:rPr>
              <w:t xml:space="preserve">۲۶ بیمار، combined supraorbital+infraorbital lidocaine block، بدون کنترل؛ سهم infraorbital جداشدنی نیست و تحریک الکتریکی نیست.</w:t>
            </w:r>
          </w:p>
        </w:tc>
      </w:tr>
      <w:tr>
        <w:tc>
          <w:tcPr/>
          <w:p>
            <w:pPr>
              <w:jc w:val="left"/>
              <w:spacing w:after="110" w:line="330" w:lineRule="auto"/>
            </w:pPr>
            <w:r>
              <w:rPr>
                <w:sz w:val="18"/>
                <w:szCs w:val="18"/>
                <w:rFonts w:ascii="Arial" w:hAnsi="Arial" w:cs="Noto Naskh Arabic"/>
              </w:rPr>
              <w:t xml:space="preserve">24</w:t>
            </w:r>
          </w:p>
        </w:tc>
        <w:tc>
          <w:tcPr/>
          <w:p>
            <w:pPr>
              <w:bidi/>
              <w:jc w:val="right"/>
              <w:spacing w:after="110" w:line="330" w:lineRule="auto"/>
            </w:pPr>
            <w:r>
              <w:rPr>
                <w:sz w:val="18"/>
                <w:szCs w:val="18"/>
                <w:rFonts w:ascii="Arial" w:hAnsi="Arial" w:cs="Noto Naskh Arabic"/>
              </w:rPr>
              <w:t xml:space="preserve">نام نویسنده/DOI نیازمند اصلاح و ادعا غلط</w:t>
            </w:r>
          </w:p>
        </w:tc>
        <w:tc>
          <w:tcPr/>
          <w:p>
            <w:pPr>
              <w:bidi/>
              <w:jc w:val="right"/>
              <w:spacing w:after="110" w:line="330" w:lineRule="auto"/>
            </w:pPr>
            <w:r>
              <w:rPr>
                <w:sz w:val="18"/>
                <w:szCs w:val="18"/>
                <w:rFonts w:ascii="Arial" w:hAnsi="Arial" w:cs="Noto Naskh Arabic"/>
              </w:rPr>
              <w:t xml:space="preserve">نویسنده آخر Will KR؛ DOI: 10.1212/WNL.82.10_supplement.S41.001. تحریک کاشتنی occipital+supraorbital است، نه infraorbital؛ از آن جمله حذف شود.</w:t>
            </w:r>
          </w:p>
        </w:tc>
      </w:tr>
      <w:tr>
        <w:tc>
          <w:tcPr/>
          <w:p>
            <w:pPr>
              <w:jc w:val="left"/>
              <w:spacing w:after="110" w:line="330" w:lineRule="auto"/>
            </w:pPr>
            <w:r>
              <w:rPr>
                <w:sz w:val="18"/>
                <w:szCs w:val="18"/>
                <w:rFonts w:ascii="Arial" w:hAnsi="Arial" w:cs="Noto Naskh Arabic"/>
              </w:rPr>
              <w:t xml:space="preserve">25</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اعداد TEAM درست‌اند، اما مطالعه acute، sponsor-involved و متفاوت از prevention است.</w:t>
            </w:r>
          </w:p>
        </w:tc>
      </w:tr>
      <w:tr>
        <w:tc>
          <w:tcPr/>
          <w:p>
            <w:pPr>
              <w:jc w:val="left"/>
              <w:spacing w:after="110" w:line="330" w:lineRule="auto"/>
            </w:pPr>
            <w:r>
              <w:rPr>
                <w:sz w:val="18"/>
                <w:szCs w:val="18"/>
                <w:rFonts w:ascii="Arial" w:hAnsi="Arial" w:cs="Noto Naskh Arabic"/>
              </w:rPr>
              <w:t xml:space="preserve">26</w:t>
            </w:r>
          </w:p>
        </w:tc>
        <w:tc>
          <w:tcPr/>
          <w:p>
            <w:pPr>
              <w:bidi/>
              <w:jc w:val="right"/>
              <w:spacing w:after="110" w:line="330" w:lineRule="auto"/>
            </w:pPr>
            <w:r>
              <w:rPr>
                <w:sz w:val="18"/>
                <w:szCs w:val="18"/>
                <w:rFonts w:ascii="Arial" w:hAnsi="Arial" w:cs="Noto Naskh Arabic"/>
              </w:rPr>
              <w:t xml:space="preserve">صحیح و مناسب</w:t>
            </w:r>
          </w:p>
        </w:tc>
        <w:tc>
          <w:tcPr/>
          <w:p>
            <w:pPr>
              <w:bidi/>
              <w:jc w:val="right"/>
              <w:spacing w:after="110" w:line="330" w:lineRule="auto"/>
            </w:pPr>
            <w:r>
              <w:rPr>
                <w:sz w:val="18"/>
                <w:szCs w:val="18"/>
                <w:rFonts w:ascii="Arial" w:hAnsi="Arial" w:cs="Noto Naskh Arabic"/>
              </w:rPr>
              <w:t xml:space="preserve">مرور/متاآنالیز 2020؛ اثر کوچک پیشگیرانه و کیفیت کلی پایین. حفظ شود.</w:t>
            </w:r>
          </w:p>
        </w:tc>
      </w:tr>
      <w:tr>
        <w:tc>
          <w:tcPr/>
          <w:p>
            <w:pPr>
              <w:jc w:val="left"/>
              <w:spacing w:after="110" w:line="330" w:lineRule="auto"/>
            </w:pPr>
            <w:r>
              <w:rPr>
                <w:sz w:val="18"/>
                <w:szCs w:val="18"/>
                <w:rFonts w:ascii="Arial" w:hAnsi="Arial" w:cs="Noto Naskh Arabic"/>
              </w:rPr>
              <w:t xml:space="preserve">27</w:t>
            </w:r>
          </w:p>
        </w:tc>
        <w:tc>
          <w:tcPr/>
          <w:p>
            <w:pPr>
              <w:bidi/>
              <w:jc w:val="right"/>
              <w:spacing w:after="110" w:line="330" w:lineRule="auto"/>
            </w:pPr>
            <w:r>
              <w:rPr>
                <w:sz w:val="18"/>
                <w:szCs w:val="18"/>
                <w:rFonts w:ascii="Arial" w:hAnsi="Arial" w:cs="Noto Naskh Arabic"/>
              </w:rPr>
              <w:t xml:space="preserve">صحیح، قیاس نامعتبر</w:t>
            </w:r>
          </w:p>
        </w:tc>
        <w:tc>
          <w:tcPr/>
          <w:p>
            <w:pPr>
              <w:bidi/>
              <w:jc w:val="right"/>
              <w:spacing w:after="110" w:line="330" w:lineRule="auto"/>
            </w:pPr>
            <w:r>
              <w:rPr>
                <w:sz w:val="18"/>
                <w:szCs w:val="18"/>
                <w:rFonts w:ascii="Arial" w:hAnsi="Arial" w:cs="Noto Naskh Arabic"/>
              </w:rPr>
              <w:t xml:space="preserve">responder rate مبتنی بر migraine days را نباید با درصد کاهش میانگین VAS این مقاله مقایسه کرد.</w:t>
            </w:r>
          </w:p>
        </w:tc>
      </w:tr>
      <w:tr>
        <w:tc>
          <w:tcPr/>
          <w:p>
            <w:pPr>
              <w:jc w:val="left"/>
              <w:spacing w:after="110" w:line="330" w:lineRule="auto"/>
            </w:pPr>
            <w:r>
              <w:rPr>
                <w:sz w:val="18"/>
                <w:szCs w:val="18"/>
                <w:rFonts w:ascii="Arial" w:hAnsi="Arial" w:cs="Noto Naskh Arabic"/>
              </w:rPr>
              <w:t xml:space="preserve">28</w:t>
            </w:r>
          </w:p>
        </w:tc>
        <w:tc>
          <w:tcPr/>
          <w:p>
            <w:pPr>
              <w:bidi/>
              <w:jc w:val="right"/>
              <w:spacing w:after="110" w:line="330" w:lineRule="auto"/>
            </w:pPr>
            <w:r>
              <w:rPr>
                <w:sz w:val="18"/>
                <w:szCs w:val="18"/>
                <w:rFonts w:ascii="Arial" w:hAnsi="Arial" w:cs="Noto Naskh Arabic"/>
              </w:rPr>
              <w:t xml:space="preserve">صحیح، فقط مکانیسم عمومی</w:t>
            </w:r>
          </w:p>
        </w:tc>
        <w:tc>
          <w:tcPr/>
          <w:p>
            <w:pPr>
              <w:bidi/>
              <w:jc w:val="right"/>
              <w:spacing w:after="110" w:line="330" w:lineRule="auto"/>
            </w:pPr>
            <w:r>
              <w:rPr>
                <w:sz w:val="18"/>
                <w:szCs w:val="18"/>
                <w:rFonts w:ascii="Arial" w:hAnsi="Arial" w:cs="Noto Naskh Arabic"/>
              </w:rPr>
              <w:t xml:space="preserve">از convergence عمومی حمایت می‌کند، نه «جذب سریع‌تر» supraorbital؛ آن تبیین حذف شود.</w:t>
            </w:r>
          </w:p>
        </w:tc>
      </w:tr>
      <w:tr>
        <w:tc>
          <w:tcPr/>
          <w:p>
            <w:pPr>
              <w:jc w:val="left"/>
              <w:spacing w:after="110" w:line="330" w:lineRule="auto"/>
            </w:pPr>
            <w:r>
              <w:rPr>
                <w:sz w:val="18"/>
                <w:szCs w:val="18"/>
                <w:rFonts w:ascii="Arial" w:hAnsi="Arial" w:cs="Noto Naskh Arabic"/>
              </w:rPr>
              <w:t xml:space="preserve">29</w:t>
            </w:r>
          </w:p>
        </w:tc>
        <w:tc>
          <w:tcPr/>
          <w:p>
            <w:pPr>
              <w:bidi/>
              <w:jc w:val="right"/>
              <w:spacing w:after="110" w:line="330" w:lineRule="auto"/>
            </w:pPr>
            <w:r>
              <w:rPr>
                <w:sz w:val="18"/>
                <w:szCs w:val="18"/>
                <w:rFonts w:ascii="Arial" w:hAnsi="Arial" w:cs="Noto Naskh Arabic"/>
              </w:rPr>
              <w:t xml:space="preserve">صحیح، مکانیسم غیرمستقیم</w:t>
            </w:r>
          </w:p>
        </w:tc>
        <w:tc>
          <w:tcPr/>
          <w:p>
            <w:pPr>
              <w:bidi/>
              <w:jc w:val="right"/>
              <w:spacing w:after="110" w:line="330" w:lineRule="auto"/>
            </w:pPr>
            <w:r>
              <w:rPr>
                <w:sz w:val="18"/>
                <w:szCs w:val="18"/>
                <w:rFonts w:ascii="Arial" w:hAnsi="Arial" w:cs="Noto Naskh Arabic"/>
              </w:rPr>
              <w:t xml:space="preserve">مرور بسیار ناهمگن؛ serotonin و الگوی زمانی خاص را ثابت نمی‌کند. مکانیسم‌ها فرضیه‌ای معرفی شوند.</w:t>
            </w:r>
          </w:p>
        </w:tc>
      </w:tr>
      <w:tr>
        <w:tc>
          <w:tcPr/>
          <w:p>
            <w:pPr>
              <w:jc w:val="left"/>
              <w:spacing w:after="110" w:line="330" w:lineRule="auto"/>
            </w:pPr>
            <w:r>
              <w:rPr>
                <w:sz w:val="18"/>
                <w:szCs w:val="18"/>
                <w:rFonts w:ascii="Arial" w:hAnsi="Arial" w:cs="Noto Naskh Arabic"/>
              </w:rPr>
              <w:t xml:space="preserve">30</w:t>
            </w:r>
          </w:p>
        </w:tc>
        <w:tc>
          <w:tcPr/>
          <w:p>
            <w:pPr>
              <w:bidi/>
              <w:jc w:val="right"/>
              <w:spacing w:after="110" w:line="330" w:lineRule="auto"/>
            </w:pPr>
            <w:r>
              <w:rPr>
                <w:sz w:val="18"/>
                <w:szCs w:val="18"/>
                <w:rFonts w:ascii="Arial" w:hAnsi="Arial" w:cs="Noto Naskh Arabic"/>
              </w:rPr>
              <w:t xml:space="preserve">صحیح اما در متن orphan</w:t>
            </w:r>
          </w:p>
        </w:tc>
        <w:tc>
          <w:tcPr/>
          <w:p>
            <w:pPr>
              <w:bidi/>
              <w:jc w:val="right"/>
              <w:spacing w:after="110" w:line="330" w:lineRule="auto"/>
            </w:pPr>
            <w:r>
              <w:rPr>
                <w:sz w:val="18"/>
                <w:szCs w:val="18"/>
                <w:rFonts w:ascii="Arial" w:hAnsi="Arial" w:cs="Noto Naskh Arabic"/>
              </w:rPr>
              <w:t xml:space="preserve">باید در متن cite شود؛ متاآنالیز برای چند outcome در eTNS monotherapy اثر معنادار نیافت و روایت را متعادل می‌کند.</w:t>
            </w:r>
          </w:p>
        </w:tc>
      </w:tr>
      <w:tr>
        <w:tc>
          <w:tcPr/>
          <w:p>
            <w:pPr>
              <w:jc w:val="left"/>
              <w:spacing w:after="110" w:line="330" w:lineRule="auto"/>
            </w:pPr>
            <w:r>
              <w:rPr>
                <w:sz w:val="18"/>
                <w:szCs w:val="18"/>
                <w:rFonts w:ascii="Arial" w:hAnsi="Arial" w:cs="Noto Naskh Arabic"/>
              </w:rPr>
              <w:t xml:space="preserve">31</w:t>
            </w:r>
          </w:p>
        </w:tc>
        <w:tc>
          <w:tcPr/>
          <w:p>
            <w:pPr>
              <w:bidi/>
              <w:jc w:val="right"/>
              <w:spacing w:after="110" w:line="330" w:lineRule="auto"/>
            </w:pPr>
            <w:r>
              <w:rPr>
                <w:sz w:val="18"/>
                <w:szCs w:val="18"/>
                <w:rFonts w:ascii="Arial" w:hAnsi="Arial" w:cs="Noto Naskh Arabic"/>
              </w:rPr>
              <w:t xml:space="preserve">غلط</w:t>
            </w:r>
          </w:p>
        </w:tc>
        <w:tc>
          <w:tcPr/>
          <w:p>
            <w:pPr>
              <w:bidi/>
              <w:jc w:val="right"/>
              <w:spacing w:after="110" w:line="330" w:lineRule="auto"/>
            </w:pPr>
            <w:r>
              <w:rPr>
                <w:sz w:val="18"/>
                <w:szCs w:val="18"/>
                <w:rFonts w:ascii="Arial" w:hAnsi="Arial" w:cs="Noto Naskh Arabic"/>
              </w:rPr>
              <w:t xml:space="preserve">رکورد صحیح ظاهراً Lipton RB, Serrano D, Buse DC, Rupnow MFT, Reed ML, Bigal ME، Headache. 2007;47:770–771 است؛ meeting abstract است. عنوان و نویسندگان مقاله غلط‌اند. MPQ-5 outcome طولی معتبر اثبات‌شده نیست و اعتبارسنجی فارسی یافت نشد.</w:t>
            </w:r>
          </w:p>
        </w:tc>
      </w:tr>
      <w:tr>
        <w:tc>
          <w:tcPr/>
          <w:p>
            <w:pPr>
              <w:jc w:val="left"/>
              <w:spacing w:after="110" w:line="330" w:lineRule="auto"/>
            </w:pPr>
            <w:r>
              <w:rPr>
                <w:sz w:val="18"/>
                <w:szCs w:val="18"/>
                <w:rFonts w:ascii="Arial" w:hAnsi="Arial" w:cs="Noto Naskh Arabic"/>
              </w:rPr>
              <w:t xml:space="preserve">32</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validation عمومی HIT-6؛ همراه با رفرنس فارسی اصلاح‌شده استفاده شود.</w:t>
            </w:r>
          </w:p>
        </w:tc>
      </w:tr>
      <w:tr>
        <w:tc>
          <w:tcPr/>
          <w:p>
            <w:pPr>
              <w:jc w:val="left"/>
              <w:spacing w:after="110" w:line="330" w:lineRule="auto"/>
            </w:pPr>
            <w:r>
              <w:rPr>
                <w:sz w:val="18"/>
                <w:szCs w:val="18"/>
                <w:rFonts w:ascii="Arial" w:hAnsi="Arial" w:cs="Noto Naskh Arabic"/>
              </w:rPr>
              <w:t xml:space="preserve">33</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validation اصلی MIDAS؛ validation فارسی با DOI 10.1155/2014/978064 افزوده شود.</w:t>
            </w:r>
          </w:p>
        </w:tc>
      </w:tr>
      <w:tr>
        <w:tc>
          <w:tcPr/>
          <w:p>
            <w:pPr>
              <w:jc w:val="left"/>
              <w:spacing w:after="110" w:line="330" w:lineRule="auto"/>
            </w:pPr>
            <w:r>
              <w:rPr>
                <w:sz w:val="18"/>
                <w:szCs w:val="18"/>
                <w:rFonts w:ascii="Arial" w:hAnsi="Arial" w:cs="Noto Naskh Arabic"/>
              </w:rPr>
              <w:t xml:space="preserve">34</w:t>
            </w:r>
          </w:p>
        </w:tc>
        <w:tc>
          <w:tcPr/>
          <w:p>
            <w:pPr>
              <w:bidi/>
              <w:jc w:val="right"/>
              <w:spacing w:after="110" w:line="330" w:lineRule="auto"/>
            </w:pPr>
            <w:r>
              <w:rPr>
                <w:sz w:val="18"/>
                <w:szCs w:val="18"/>
                <w:rFonts w:ascii="Arial" w:hAnsi="Arial" w:cs="Noto Naskh Arabic"/>
              </w:rPr>
              <w:t xml:space="preserve">صحیح ولی جای استناد غلط</w:t>
            </w:r>
          </w:p>
        </w:tc>
        <w:tc>
          <w:tcPr/>
          <w:p>
            <w:pPr>
              <w:bidi/>
              <w:jc w:val="right"/>
              <w:spacing w:after="110" w:line="330" w:lineRule="auto"/>
            </w:pPr>
            <w:r>
              <w:rPr>
                <w:sz w:val="18"/>
                <w:szCs w:val="18"/>
                <w:rFonts w:ascii="Arial" w:hAnsi="Arial" w:cs="Noto Naskh Arabic"/>
              </w:rPr>
              <w:t xml:space="preserve">برای burden مناسب است؛ از عوارض، MOH و poor adherence داروها حمایت نمی‌کند.</w:t>
            </w:r>
          </w:p>
        </w:tc>
      </w:tr>
      <w:tr>
        <w:tc>
          <w:tcPr/>
          <w:p>
            <w:pPr>
              <w:jc w:val="left"/>
              <w:spacing w:after="110" w:line="330" w:lineRule="auto"/>
            </w:pPr>
            <w:r>
              <w:rPr>
                <w:sz w:val="18"/>
                <w:szCs w:val="18"/>
                <w:rFonts w:ascii="Arial" w:hAnsi="Arial" w:cs="Noto Naskh Arabic"/>
              </w:rPr>
              <w:t xml:space="preserve">35</w:t>
            </w:r>
          </w:p>
        </w:tc>
        <w:tc>
          <w:tcPr/>
          <w:p>
            <w:pPr>
              <w:bidi/>
              <w:jc w:val="right"/>
              <w:spacing w:after="110" w:line="330" w:lineRule="auto"/>
            </w:pPr>
            <w:r>
              <w:rPr>
                <w:sz w:val="18"/>
                <w:szCs w:val="18"/>
                <w:rFonts w:ascii="Arial" w:hAnsi="Arial" w:cs="Noto Naskh Arabic"/>
              </w:rPr>
              <w:t xml:space="preserve">صحیح</w:t>
            </w:r>
          </w:p>
        </w:tc>
        <w:tc>
          <w:tcPr/>
          <w:p>
            <w:pPr>
              <w:bidi/>
              <w:jc w:val="right"/>
              <w:spacing w:after="110" w:line="330" w:lineRule="auto"/>
            </w:pPr>
            <w:r>
              <w:rPr>
                <w:sz w:val="18"/>
                <w:szCs w:val="18"/>
                <w:rFonts w:ascii="Arial" w:hAnsi="Arial" w:cs="Noto Naskh Arabic"/>
              </w:rPr>
              <w:t xml:space="preserve">برای MOH مناسب؛ برای همه ادعاهای عدم تحمل دارو کافی نیست.</w:t>
            </w:r>
          </w:p>
        </w:tc>
      </w:tr>
      <w:tr>
        <w:tc>
          <w:tcPr/>
          <w:p>
            <w:pPr>
              <w:jc w:val="left"/>
              <w:spacing w:after="110" w:line="330" w:lineRule="auto"/>
            </w:pPr>
            <w:r>
              <w:rPr>
                <w:sz w:val="18"/>
                <w:szCs w:val="18"/>
                <w:rFonts w:ascii="Arial" w:hAnsi="Arial" w:cs="Noto Naskh Arabic"/>
              </w:rPr>
              <w:t xml:space="preserve">36</w:t>
            </w:r>
          </w:p>
        </w:tc>
        <w:tc>
          <w:tcPr/>
          <w:p>
            <w:pPr>
              <w:bidi/>
              <w:jc w:val="right"/>
              <w:spacing w:after="110" w:line="330" w:lineRule="auto"/>
            </w:pPr>
            <w:r>
              <w:rPr>
                <w:sz w:val="18"/>
                <w:szCs w:val="18"/>
                <w:rFonts w:ascii="Arial" w:hAnsi="Arial" w:cs="Noto Naskh Arabic"/>
              </w:rPr>
              <w:t xml:space="preserve">صحیح ولی قدیمی/بدتفسیر</w:t>
            </w:r>
          </w:p>
        </w:tc>
        <w:tc>
          <w:tcPr/>
          <w:p>
            <w:pPr>
              <w:bidi/>
              <w:jc w:val="right"/>
              <w:spacing w:after="110" w:line="330" w:lineRule="auto"/>
            </w:pPr>
            <w:r>
              <w:rPr>
                <w:sz w:val="18"/>
                <w:szCs w:val="18"/>
                <w:rFonts w:ascii="Arial" w:hAnsi="Arial" w:cs="Noto Naskh Arabic"/>
              </w:rPr>
              <w:t xml:space="preserve">موضع‌نامه 2013 استفاده را عمدتاً به موارد مقاوم و مراکز تخصصی محدود می‌کرد؛ endorsement عمومی Novin/infraorbital نیست. با IHS 2025 جایگزین شود.</w:t>
            </w:r>
          </w:p>
        </w:tc>
      </w:tr>
      <w:tr>
        <w:tc>
          <w:tcPr/>
          <w:p>
            <w:pPr>
              <w:jc w:val="left"/>
              <w:spacing w:after="110" w:line="330" w:lineRule="auto"/>
            </w:pPr>
            <w:r>
              <w:rPr>
                <w:sz w:val="18"/>
                <w:szCs w:val="18"/>
                <w:rFonts w:ascii="Arial" w:hAnsi="Arial" w:cs="Noto Naskh Arabic"/>
              </w:rPr>
              <w:t xml:space="preserve">37</w:t>
            </w:r>
          </w:p>
        </w:tc>
        <w:tc>
          <w:tcPr/>
          <w:p>
            <w:pPr>
              <w:bidi/>
              <w:jc w:val="right"/>
              <w:spacing w:after="110" w:line="330" w:lineRule="auto"/>
            </w:pPr>
            <w:r>
              <w:rPr>
                <w:sz w:val="18"/>
                <w:szCs w:val="18"/>
                <w:rFonts w:ascii="Arial" w:hAnsi="Arial" w:cs="Noto Naskh Arabic"/>
              </w:rPr>
              <w:t xml:space="preserve">صحیح با محدودیت</w:t>
            </w:r>
          </w:p>
        </w:tc>
        <w:tc>
          <w:tcPr/>
          <w:p>
            <w:pPr>
              <w:bidi/>
              <w:jc w:val="right"/>
              <w:spacing w:after="110" w:line="330" w:lineRule="auto"/>
            </w:pPr>
            <w:r>
              <w:rPr>
                <w:sz w:val="18"/>
                <w:szCs w:val="18"/>
                <w:rFonts w:ascii="Arial" w:hAnsi="Arial" w:cs="Noto Naskh Arabic"/>
              </w:rPr>
              <w:t xml:space="preserve">AHS 2021 از modalityهای نام‌برده مانند eTNS/nVNS/sTMS در بیماران منتخب صحبت می‌کند؛ این پروتکل عمومی را تأیید نمی‌کند.</w:t>
            </w:r>
          </w:p>
        </w:tc>
      </w:tr>
      <w:tr>
        <w:tc>
          <w:tcPr/>
          <w:p>
            <w:pPr>
              <w:jc w:val="left"/>
              <w:spacing w:after="110" w:line="330" w:lineRule="auto"/>
            </w:pPr>
            <w:r>
              <w:rPr>
                <w:sz w:val="18"/>
                <w:szCs w:val="18"/>
                <w:rFonts w:ascii="Arial" w:hAnsi="Arial" w:cs="Noto Naskh Arabic"/>
              </w:rPr>
              <w:t xml:space="preserve">38</w:t>
            </w:r>
          </w:p>
        </w:tc>
        <w:tc>
          <w:tcPr/>
          <w:p>
            <w:pPr>
              <w:bidi/>
              <w:jc w:val="right"/>
              <w:spacing w:after="110" w:line="330" w:lineRule="auto"/>
            </w:pPr>
            <w:r>
              <w:rPr>
                <w:sz w:val="18"/>
                <w:szCs w:val="18"/>
                <w:rFonts w:ascii="Arial" w:hAnsi="Arial" w:cs="Noto Naskh Arabic"/>
              </w:rPr>
              <w:t xml:space="preserve">کاملاً غلط</w:t>
            </w:r>
          </w:p>
        </w:tc>
        <w:tc>
          <w:tcPr/>
          <w:p>
            <w:pPr>
              <w:bidi/>
              <w:jc w:val="right"/>
              <w:spacing w:after="110" w:line="330" w:lineRule="auto"/>
            </w:pPr>
            <w:r>
              <w:rPr>
                <w:sz w:val="18"/>
                <w:szCs w:val="18"/>
                <w:rFonts w:ascii="Arial" w:hAnsi="Arial" w:cs="Noto Naskh Arabic"/>
              </w:rPr>
              <w:t xml:space="preserve">مشخصات صحیح: Zandifar A, Banihashemi M, Haghdoost F, et al. Pain Pract. 2014;14(7):625–631. DOI: 10.1111/papr.12120. DOI فعلی مقاله نامرتبط است.</w:t>
            </w:r>
          </w:p>
        </w:tc>
      </w:tr>
      <w:tr>
        <w:tc>
          <w:tcPr/>
          <w:p>
            <w:pPr>
              <w:jc w:val="left"/>
              <w:spacing w:after="110" w:line="330" w:lineRule="auto"/>
            </w:pPr>
            <w:r>
              <w:rPr>
                <w:sz w:val="18"/>
                <w:szCs w:val="18"/>
                <w:rFonts w:ascii="Arial" w:hAnsi="Arial" w:cs="Noto Naskh Arabic"/>
              </w:rPr>
              <w:t xml:space="preserve">39</w:t>
            </w:r>
          </w:p>
        </w:tc>
        <w:tc>
          <w:tcPr/>
          <w:p>
            <w:pPr>
              <w:bidi/>
              <w:jc w:val="right"/>
              <w:spacing w:after="110" w:line="330" w:lineRule="auto"/>
            </w:pPr>
            <w:r>
              <w:rPr>
                <w:sz w:val="18"/>
                <w:szCs w:val="18"/>
                <w:rFonts w:ascii="Arial" w:hAnsi="Arial" w:cs="Noto Naskh Arabic"/>
              </w:rPr>
              <w:t xml:space="preserve">صحیح، تفسیر ساده‌سازی‌شده</w:t>
            </w:r>
          </w:p>
        </w:tc>
        <w:tc>
          <w:tcPr/>
          <w:p>
            <w:pPr>
              <w:bidi/>
              <w:jc w:val="right"/>
              <w:spacing w:after="110" w:line="330" w:lineRule="auto"/>
            </w:pPr>
            <w:r>
              <w:rPr>
                <w:sz w:val="18"/>
                <w:szCs w:val="18"/>
                <w:rFonts w:ascii="Arial" w:hAnsi="Arial" w:cs="Noto Naskh Arabic"/>
              </w:rPr>
              <w:t xml:space="preserve">MIC درون‌فردی حدود −۲٫۵ تا −۶ و between-group MID حدود −۱٫۵ بود. «۵ امتیاز» threshold انتخابی است، نه حقیقت جهانی.</w:t>
            </w:r>
          </w:p>
        </w:tc>
      </w:tr>
      <w:tr>
        <w:tc>
          <w:tcPr/>
          <w:p>
            <w:pPr>
              <w:jc w:val="left"/>
              <w:spacing w:after="110" w:line="330" w:lineRule="auto"/>
            </w:pPr>
            <w:r>
              <w:rPr>
                <w:sz w:val="18"/>
                <w:szCs w:val="18"/>
                <w:rFonts w:ascii="Arial" w:hAnsi="Arial" w:cs="Noto Naskh Arabic"/>
              </w:rPr>
              <w:t xml:space="preserve">40</w:t>
            </w:r>
          </w:p>
        </w:tc>
        <w:tc>
          <w:tcPr/>
          <w:p>
            <w:pPr>
              <w:bidi/>
              <w:jc w:val="right"/>
              <w:spacing w:after="110" w:line="330" w:lineRule="auto"/>
            </w:pPr>
            <w:r>
              <w:rPr>
                <w:sz w:val="18"/>
                <w:szCs w:val="18"/>
                <w:rFonts w:ascii="Arial" w:hAnsi="Arial" w:cs="Noto Naskh Arabic"/>
              </w:rPr>
              <w:t xml:space="preserve">صحیح ولی غیرمستقیم</w:t>
            </w:r>
          </w:p>
        </w:tc>
        <w:tc>
          <w:tcPr/>
          <w:p>
            <w:pPr>
              <w:bidi/>
              <w:jc w:val="right"/>
              <w:spacing w:after="110" w:line="330" w:lineRule="auto"/>
            </w:pPr>
            <w:r>
              <w:rPr>
                <w:sz w:val="18"/>
                <w:szCs w:val="18"/>
                <w:rFonts w:ascii="Arial" w:hAnsi="Arial" w:cs="Noto Naskh Arabic"/>
              </w:rPr>
              <w:t xml:space="preserve">مربوط به nVNS است، نه trigeminal TENS؛ برای اثر مصرف دارو شاهد مستقیم نیست.</w:t>
            </w:r>
          </w:p>
        </w:tc>
      </w:tr>
    </w:tbl>
    <w:p>
      <w:pPr>
        <w:pStyle w:val="Heading2"/>
        <w:bidi/>
        <w:jc w:val="right"/>
        <w:spacing w:after="110" w:line="330" w:lineRule="auto"/>
        <w:keepNext/>
      </w:pPr>
      <w:r>
        <w:rPr>
          <w:b/>
          <w:sz w:val="24"/>
          <w:szCs w:val="24"/>
          <w:rFonts w:ascii="Arial" w:hAnsi="Arial" w:cs="Noto Naskh Arabic"/>
        </w:rPr>
        <w:t xml:space="preserve">اصلاحات دقیق کتاب‌شناختی مهم</w:t>
      </w:r>
    </w:p>
    <w:p>
      <w:pPr>
        <w:pStyle w:val="Heading3"/>
        <w:bidi/>
        <w:jc w:val="right"/>
        <w:spacing w:after="110" w:line="330" w:lineRule="auto"/>
        <w:keepNext/>
      </w:pPr>
      <w:r>
        <w:rPr>
          <w:b/>
          <w:sz w:val="20"/>
          <w:szCs w:val="20"/>
          <w:rFonts w:ascii="Arial" w:hAnsi="Arial" w:cs="Noto Naskh Arabic"/>
        </w:rPr>
        <w:t xml:space="preserve">رفرنس 11</w:t>
      </w:r>
    </w:p>
    <w:p>
      <w:pPr>
        <w:jc w:val="left"/>
        <w:spacing w:after="110" w:line="330" w:lineRule="auto"/>
      </w:pPr>
      <w:r>
        <w:rPr>
          <w:sz w:val="22"/>
          <w:szCs w:val="22"/>
          <w:rFonts w:ascii="Arial" w:hAnsi="Arial" w:cs="Noto Naskh Arabic"/>
        </w:rPr>
        <w:t xml:space="preserve">Magis D, Jensen R, Schoenen J. Neurostimulation therapies for primary headache disorders: present and future. Curr Opin Neurol. 2012;25(3):269–276. doi:10.1097/WCO.0b013e3283532023.</w:t>
      </w:r>
    </w:p>
    <w:p>
      <w:pPr>
        <w:pStyle w:val="Heading3"/>
        <w:bidi/>
        <w:jc w:val="right"/>
        <w:spacing w:after="110" w:line="330" w:lineRule="auto"/>
        <w:keepNext/>
      </w:pPr>
      <w:r>
        <w:rPr>
          <w:b/>
          <w:sz w:val="20"/>
          <w:szCs w:val="20"/>
          <w:rFonts w:ascii="Arial" w:hAnsi="Arial" w:cs="Noto Naskh Arabic"/>
        </w:rPr>
        <w:t xml:space="preserve">رفرنس 21</w:t>
      </w:r>
    </w:p>
    <w:p>
      <w:pPr>
        <w:jc w:val="left"/>
        <w:spacing w:after="110" w:line="330" w:lineRule="auto"/>
      </w:pPr>
      <w:r>
        <w:rPr>
          <w:sz w:val="22"/>
          <w:szCs w:val="22"/>
          <w:rFonts w:ascii="Arial" w:hAnsi="Arial" w:cs="Noto Naskh Arabic"/>
        </w:rPr>
        <w:t xml:space="preserve">Tajti J, Szok D, Nyári A, Vécsei L. Therapeutic strategies that act on the peripheral nervous system in primary headache disorders. Expert Rev Neurother. 2019;19(6):509–533. doi:10.1080/14737175.2019.1615447.</w:t>
      </w:r>
    </w:p>
    <w:p>
      <w:pPr>
        <w:pStyle w:val="Heading3"/>
        <w:bidi/>
        <w:jc w:val="right"/>
        <w:spacing w:after="110" w:line="330" w:lineRule="auto"/>
        <w:keepNext/>
      </w:pPr>
      <w:r>
        <w:rPr>
          <w:b/>
          <w:sz w:val="20"/>
          <w:szCs w:val="20"/>
          <w:rFonts w:ascii="Arial" w:hAnsi="Arial" w:cs="Noto Naskh Arabic"/>
        </w:rPr>
        <w:t xml:space="preserve">رفرنس 31</w:t>
      </w:r>
    </w:p>
    <w:p>
      <w:pPr>
        <w:jc w:val="left"/>
        <w:spacing w:after="110" w:line="330" w:lineRule="auto"/>
      </w:pPr>
      <w:r>
        <w:rPr>
          <w:sz w:val="22"/>
          <w:szCs w:val="22"/>
          <w:rFonts w:ascii="Arial" w:hAnsi="Arial" w:cs="Noto Naskh Arabic"/>
        </w:rPr>
        <w:t xml:space="preserve">Lipton RB, Serrano D, Buse DC, Rupnow MFT, Reed ML, Bigal ME. The Migraine Prevention Questionnaire (MPQ): development and validation. Headache. 2007;47:770–771. [Meeting abstract; metadata and intended instrument version must be verified from the original source.]</w:t>
      </w:r>
    </w:p>
    <w:p>
      <w:pPr>
        <w:bidi/>
        <w:jc w:val="right"/>
        <w:spacing w:after="110" w:line="330" w:lineRule="auto"/>
      </w:pPr>
      <w:r>
        <w:rPr>
          <w:sz w:val="22"/>
          <w:szCs w:val="22"/>
          <w:rFonts w:ascii="Arial" w:hAnsi="Arial" w:cs="Noto Naskh Arabic"/>
        </w:rPr>
        <w:t xml:space="preserve">این منبع برای اثبات responsiveness، MCID یا اعتبار استفاده از MPQ-5 به عنوان outcome پیوسته کافی نیست.</w:t>
      </w:r>
    </w:p>
    <w:p>
      <w:pPr>
        <w:pStyle w:val="Heading3"/>
        <w:bidi/>
        <w:jc w:val="right"/>
        <w:spacing w:after="110" w:line="330" w:lineRule="auto"/>
        <w:keepNext/>
      </w:pPr>
      <w:r>
        <w:rPr>
          <w:b/>
          <w:sz w:val="20"/>
          <w:szCs w:val="20"/>
          <w:rFonts w:ascii="Arial" w:hAnsi="Arial" w:cs="Noto Naskh Arabic"/>
        </w:rPr>
        <w:t xml:space="preserve">رفرنس 38</w:t>
      </w:r>
    </w:p>
    <w:p>
      <w:pPr>
        <w:jc w:val="left"/>
        <w:spacing w:after="110" w:line="330" w:lineRule="auto"/>
      </w:pPr>
      <w:r>
        <w:rPr>
          <w:sz w:val="22"/>
          <w:szCs w:val="22"/>
          <w:rFonts w:ascii="Arial" w:hAnsi="Arial" w:cs="Noto Naskh Arabic"/>
        </w:rPr>
        <w:t xml:space="preserve">Zandifar A, Banihashemi M, Haghdoost F, Masjedi SS, Manouchehri N, Asgari F, Najafi MR, Ghorbani A, Zandifar S, Saadatnia M. Reliability and validity of the Persian HIT-6 questionnaire in migraine and tension-type headache. Pain Pract. 2014;14(7):625–631. doi:10.1111/papr.12120.</w:t>
      </w:r>
    </w:p>
    <w:p>
      <w:pPr>
        <w:pStyle w:val="Heading2"/>
        <w:bidi/>
        <w:jc w:val="right"/>
        <w:spacing w:after="110" w:line="330" w:lineRule="auto"/>
        <w:keepNext/>
      </w:pPr>
      <w:r>
        <w:rPr>
          <w:b/>
          <w:sz w:val="24"/>
          <w:szCs w:val="24"/>
          <w:rFonts w:ascii="Arial" w:hAnsi="Arial" w:cs="Noto Naskh Arabic"/>
        </w:rPr>
        <w:t xml:space="preserve">منابع جدید واردشده در نسخه اصلاحی</w:t>
      </w:r>
    </w:p>
    <w:p>
      <w:pPr>
        <w:pStyle w:val="Heading3"/>
        <w:bidi/>
        <w:jc w:val="right"/>
        <w:spacing w:after="110" w:line="330" w:lineRule="auto"/>
        <w:keepNext/>
      </w:pPr>
      <w:r>
        <w:rPr>
          <w:b/>
          <w:sz w:val="20"/>
          <w:szCs w:val="20"/>
          <w:rFonts w:ascii="Arial" w:hAnsi="Arial" w:cs="Noto Naskh Arabic"/>
        </w:rPr>
        <w:t xml:space="preserve">اپیدمیولوژی و بار بیماری</w:t>
      </w:r>
    </w:p>
    <w:p>
      <w:pPr>
        <w:jc w:val="left"/>
        <w:spacing w:after="110" w:line="330" w:lineRule="auto"/>
      </w:pPr>
      <w:r>
        <w:rPr>
          <w:sz w:val="22"/>
          <w:szCs w:val="22"/>
          <w:rFonts w:ascii="Arial" w:hAnsi="Arial" w:cs="Noto Naskh Arabic"/>
        </w:rPr>
        <w:t xml:space="preserve">1. Stovner LJ, Hagen K, Linde M, Steiner TJ. The global prevalence of headache: an update, with analysis of the influences of methodological factors on prevalence estimates. J Headache Pain. 2022;23:34. doi:10.1186/s10194-022-01402-2.</w:t>
      </w:r>
    </w:p>
    <w:p>
      <w:pPr>
        <w:jc w:val="left"/>
        <w:spacing w:after="110" w:line="330" w:lineRule="auto"/>
      </w:pPr>
      <w:r>
        <w:rPr>
          <w:sz w:val="22"/>
          <w:szCs w:val="22"/>
          <w:rFonts w:ascii="Arial" w:hAnsi="Arial" w:cs="Noto Naskh Arabic"/>
        </w:rPr>
        <w:t xml:space="preserve">2. Ashina M, Katsarava Z, Do TP, et al. Migraine: epidemiology and systems of care. Lancet. 2021;397(10283):1485–1495. doi:10.1016/S0140-6736(20)32160-7.</w:t>
      </w:r>
    </w:p>
    <w:p>
      <w:pPr>
        <w:jc w:val="left"/>
        <w:spacing w:after="110" w:line="330" w:lineRule="auto"/>
      </w:pPr>
      <w:r>
        <w:rPr>
          <w:sz w:val="22"/>
          <w:szCs w:val="22"/>
          <w:rFonts w:ascii="Arial" w:hAnsi="Arial" w:cs="Noto Naskh Arabic"/>
        </w:rPr>
        <w:t xml:space="preserve">3. GBD 2023 Headache Collaborators. Global, regional, and national burden of headache disorders, 1990–2023: a systematic analysis for the Global Burden of Disease Study 2023. Lancet Neurol. 2025;24(12):1005–1015. doi:10.1016/S1474-4422(25)00402-8.</w:t>
      </w:r>
    </w:p>
    <w:p>
      <w:pPr>
        <w:pStyle w:val="Heading3"/>
        <w:bidi/>
        <w:jc w:val="right"/>
        <w:spacing w:after="110" w:line="330" w:lineRule="auto"/>
        <w:keepNext/>
      </w:pPr>
      <w:r>
        <w:rPr>
          <w:b/>
          <w:sz w:val="20"/>
          <w:szCs w:val="20"/>
          <w:rFonts w:ascii="Arial" w:hAnsi="Arial" w:cs="Noto Naskh Arabic"/>
        </w:rPr>
        <w:t xml:space="preserve">پاتوفیزیولوژی و medication overuse</w:t>
      </w:r>
    </w:p>
    <w:p>
      <w:pPr>
        <w:jc w:val="left"/>
        <w:spacing w:after="110" w:line="330" w:lineRule="auto"/>
      </w:pPr>
      <w:r>
        <w:rPr>
          <w:sz w:val="22"/>
          <w:szCs w:val="22"/>
          <w:rFonts w:ascii="Arial" w:hAnsi="Arial" w:cs="Noto Naskh Arabic"/>
        </w:rPr>
        <w:t xml:space="preserve">4. Puledda F, Silva EM, Suwanlaong K, Goadsby PJ. Migraine: from pathophysiology to treatment. J Neurol. 2023;270(7):3654–3666. doi:10.1007/s00415-023-11706-1.</w:t>
      </w:r>
    </w:p>
    <w:p>
      <w:pPr>
        <w:jc w:val="left"/>
        <w:spacing w:after="110" w:line="330" w:lineRule="auto"/>
      </w:pPr>
      <w:r>
        <w:rPr>
          <w:sz w:val="22"/>
          <w:szCs w:val="22"/>
          <w:rFonts w:ascii="Arial" w:hAnsi="Arial" w:cs="Noto Naskh Arabic"/>
        </w:rPr>
        <w:t xml:space="preserve">5. Ashina S, Terwindt GM, Steiner TJ, et al. Medication overuse headache. Nat Rev Dis Primers. 2023;9:5. doi:10.1038/s41572-022-00415-0.</w:t>
      </w:r>
    </w:p>
    <w:p>
      <w:pPr>
        <w:pStyle w:val="Heading3"/>
        <w:bidi/>
        <w:jc w:val="right"/>
        <w:spacing w:after="110" w:line="330" w:lineRule="auto"/>
        <w:keepNext/>
      </w:pPr>
      <w:r>
        <w:rPr>
          <w:b/>
          <w:sz w:val="20"/>
          <w:szCs w:val="20"/>
          <w:rFonts w:ascii="Arial" w:hAnsi="Arial" w:cs="Noto Naskh Arabic"/>
        </w:rPr>
        <w:t xml:space="preserve">شواهد neuromodulation</w:t>
      </w:r>
    </w:p>
    <w:p>
      <w:pPr>
        <w:jc w:val="left"/>
        <w:spacing w:after="110" w:line="330" w:lineRule="auto"/>
      </w:pPr>
      <w:r>
        <w:rPr>
          <w:sz w:val="22"/>
          <w:szCs w:val="22"/>
          <w:rFonts w:ascii="Arial" w:hAnsi="Arial" w:cs="Noto Naskh Arabic"/>
        </w:rPr>
        <w:t xml:space="preserve">6. Stanak M, Wolf S, Jagoš H, Zebenholzer K. The impact of external trigeminal nerve stimulator on prevention and acute treatment of episodic and chronic migraine: a systematic review. J Neurol Sci. 2020;412:116725. doi:10.1016/j.jns.2020.116725.</w:t>
      </w:r>
    </w:p>
    <w:p>
      <w:pPr>
        <w:jc w:val="left"/>
        <w:spacing w:after="110" w:line="330" w:lineRule="auto"/>
      </w:pPr>
      <w:r>
        <w:rPr>
          <w:sz w:val="22"/>
          <w:szCs w:val="22"/>
          <w:rFonts w:ascii="Arial" w:hAnsi="Arial" w:cs="Noto Naskh Arabic"/>
        </w:rPr>
        <w:t xml:space="preserve">7. Evans AG, Horrar AN, Ibrahim MM, et al. Outcomes of transcutaneous nerve stimulation for migraine headaches: a systematic review and meta-analysis. J Neurol. 2022;269(8):4021–4029. doi:10.1007/s00415-022-11059-1.</w:t>
      </w:r>
    </w:p>
    <w:p>
      <w:pPr>
        <w:jc w:val="left"/>
        <w:spacing w:after="110" w:line="330" w:lineRule="auto"/>
      </w:pPr>
      <w:r>
        <w:rPr>
          <w:sz w:val="22"/>
          <w:szCs w:val="22"/>
          <w:rFonts w:ascii="Arial" w:hAnsi="Arial" w:cs="Noto Naskh Arabic"/>
        </w:rPr>
        <w:t xml:space="preserve">8. Yuan H, Orr SL, Al-Karagholi MAM, et al. International Headache Society evidence-based guidelines on the use of non-invasive neuromodulation devices for the acute and preventive treatment of migraine. Cephalalgia. 2025;45(10). doi:10.1177/03331024251388377.</w:t>
      </w:r>
    </w:p>
    <w:p>
      <w:pPr>
        <w:jc w:val="left"/>
        <w:spacing w:after="110" w:line="330" w:lineRule="auto"/>
      </w:pPr>
      <w:r>
        <w:rPr>
          <w:sz w:val="22"/>
          <w:szCs w:val="22"/>
          <w:rFonts w:ascii="Arial" w:hAnsi="Arial" w:cs="Noto Naskh Arabic"/>
        </w:rPr>
        <w:t xml:space="preserve">9. Zhou S, Hussain N, Abd-Elsayed A, Boulos R, Hakim M, Gupta M, Weaver T. Peripheral nerve stimulation for treatment of headaches: an evidence-based review. Biomedicines. 2021;9(11):1588. doi:10.3390/biomedicines9111588.</w:t>
      </w:r>
    </w:p>
    <w:p>
      <w:pPr>
        <w:jc w:val="left"/>
        <w:spacing w:after="110" w:line="330" w:lineRule="auto"/>
      </w:pPr>
      <w:r>
        <w:rPr>
          <w:sz w:val="22"/>
          <w:szCs w:val="22"/>
          <w:rFonts w:ascii="Arial" w:hAnsi="Arial" w:cs="Noto Naskh Arabic"/>
        </w:rPr>
        <w:t xml:space="preserve">10. Cocores AN, Smirnoff L, Greco G, Herrera R, Monteith TS. Update on neuromodulation for migraine and other primary headache disorders: recent advances and new indications. Curr Pain Headache Rep. 2025;29:47. doi:10.1007/s11916-024-01314-7.</w:t>
      </w:r>
    </w:p>
    <w:p>
      <w:pPr>
        <w:jc w:val="left"/>
        <w:spacing w:after="110" w:line="330" w:lineRule="auto"/>
      </w:pPr>
      <w:r>
        <w:rPr>
          <w:sz w:val="22"/>
          <w:szCs w:val="22"/>
          <w:rFonts w:ascii="Arial" w:hAnsi="Arial" w:cs="Noto Naskh Arabic"/>
        </w:rPr>
        <w:t xml:space="preserve">11. Ye Y, Xie X, Huang H, Zhang H, Yu Y, Qu W. Efficacy and safety of transcutaneous supraorbital nerve stimulation versus topiramate for migraine prevention: a non-inferiority randomized trial. J Headache Pain. 2026;27:143. doi:10.1186/s10194-026-02367-2.</w:t>
      </w:r>
    </w:p>
    <w:p>
      <w:pPr>
        <w:bidi/>
        <w:jc w:val="right"/>
        <w:spacing w:after="110" w:line="330" w:lineRule="auto"/>
      </w:pPr>
      <w:r>
        <w:rPr>
          <w:sz w:val="22"/>
          <w:szCs w:val="22"/>
          <w:rFonts w:ascii="Arial" w:hAnsi="Arial" w:cs="Noto Naskh Arabic"/>
        </w:rPr>
        <w:t xml:space="preserve">راهنمای ۲۰۲۵ فقط توصیه‌های ضعیف/مشروط برای دستگاه‌های نام‌برده ارائه می‌کند و Novin یا infraorbital TENS را تأیید نمی‌کند.</w:t>
      </w:r>
    </w:p>
    <w:p>
      <w:pPr>
        <w:pStyle w:val="Heading3"/>
        <w:bidi/>
        <w:jc w:val="right"/>
        <w:spacing w:after="110" w:line="330" w:lineRule="auto"/>
        <w:keepNext/>
      </w:pPr>
      <w:r>
        <w:rPr>
          <w:b/>
          <w:sz w:val="20"/>
          <w:szCs w:val="20"/>
          <w:rFonts w:ascii="Arial" w:hAnsi="Arial" w:cs="Noto Naskh Arabic"/>
        </w:rPr>
        <w:t xml:space="preserve">طراحی کارآزمایی و گزارش‌دهی</w:t>
      </w:r>
    </w:p>
    <w:p>
      <w:pPr>
        <w:jc w:val="left"/>
        <w:spacing w:after="110" w:line="330" w:lineRule="auto"/>
      </w:pPr>
      <w:r>
        <w:rPr>
          <w:sz w:val="22"/>
          <w:szCs w:val="22"/>
          <w:rFonts w:ascii="Arial" w:hAnsi="Arial" w:cs="Noto Naskh Arabic"/>
        </w:rPr>
        <w:t xml:space="preserve">12. Tassorelli C, Diener HC, Silberstein SD, et al. Guidelines of the International Headache Society for clinical trials with neuromodulation devices for the treatment of migraine. Cephalalgia. 2021;41(11–12):1135–1151. doi:10.1177/03331024211010413.</w:t>
      </w:r>
    </w:p>
    <w:p>
      <w:pPr>
        <w:jc w:val="left"/>
        <w:spacing w:after="110" w:line="330" w:lineRule="auto"/>
      </w:pPr>
      <w:r>
        <w:rPr>
          <w:sz w:val="22"/>
          <w:szCs w:val="22"/>
          <w:rFonts w:ascii="Arial" w:hAnsi="Arial" w:cs="Noto Naskh Arabic"/>
        </w:rPr>
        <w:t xml:space="preserve">13. Diener HC, Tassorelli C, Dodick DW, et al. Guidelines of the International Headache Society for controlled trials of preventive treatment of migraine attacks in episodic migraine in adults. Cephalalgia. 2020;40(10):1026–1044. doi:10.1177/0333102420941839.</w:t>
      </w:r>
    </w:p>
    <w:p>
      <w:pPr>
        <w:jc w:val="left"/>
        <w:spacing w:after="110" w:line="330" w:lineRule="auto"/>
      </w:pPr>
      <w:r>
        <w:rPr>
          <w:sz w:val="22"/>
          <w:szCs w:val="22"/>
          <w:rFonts w:ascii="Arial" w:hAnsi="Arial" w:cs="Noto Naskh Arabic"/>
        </w:rPr>
        <w:t xml:space="preserve">14. Hopewell S, Chan AW, Collins GS, et al. CONSORT 2025 statement: updated guideline for reporting randomised trials. BMJ. 2025;389:e081123. doi:10.1136/bmj-2024-081123.</w:t>
      </w:r>
    </w:p>
    <w:p>
      <w:pPr>
        <w:jc w:val="left"/>
        <w:spacing w:after="110" w:line="330" w:lineRule="auto"/>
      </w:pPr>
      <w:r>
        <w:rPr>
          <w:sz w:val="22"/>
          <w:szCs w:val="22"/>
          <w:rFonts w:ascii="Arial" w:hAnsi="Arial" w:cs="Noto Naskh Arabic"/>
        </w:rPr>
        <w:t xml:space="preserve">15. Junqueira DR, Zorzela L, Golder S, et al. CONSORT Harms 2022 statement, explanation, and elaboration: updated guideline for the reporting of harms in randomised trials. BMJ. 2023;381:e073725. doi:10.1136/bmj-2022-073725.</w:t>
      </w:r>
    </w:p>
    <w:p>
      <w:pPr>
        <w:pStyle w:val="Heading3"/>
        <w:bidi/>
        <w:jc w:val="right"/>
        <w:spacing w:after="110" w:line="330" w:lineRule="auto"/>
        <w:keepNext/>
      </w:pPr>
      <w:r>
        <w:rPr>
          <w:b/>
          <w:sz w:val="20"/>
          <w:szCs w:val="20"/>
          <w:rFonts w:ascii="Arial" w:hAnsi="Arial" w:cs="Noto Naskh Arabic"/>
        </w:rPr>
        <w:t xml:space="preserve">ابزار فارسی</w:t>
      </w:r>
    </w:p>
    <w:p>
      <w:pPr>
        <w:jc w:val="left"/>
        <w:spacing w:after="110" w:line="330" w:lineRule="auto"/>
      </w:pPr>
      <w:r>
        <w:rPr>
          <w:sz w:val="22"/>
          <w:szCs w:val="22"/>
          <w:rFonts w:ascii="Arial" w:hAnsi="Arial" w:cs="Noto Naskh Arabic"/>
        </w:rPr>
        <w:t xml:space="preserve">16. Zandifar A, Asgari F, Haghdoost F, Masjedi SS, Manouchehri N, Banihashemi M, et al. Reliability and validity of the Migraine Disability Assessment Scale among migraine and tension type headache in Iranian patients. Biomed Res Int. 2014;2014:978064. doi:10.1155/2014/978064.</w:t>
      </w:r>
    </w:p>
    <w:p>
      <w:pPr>
        <w:bidi/>
        <w:jc w:val="right"/>
        <w:spacing w:after="110" w:line="330" w:lineRule="auto"/>
      </w:pPr>
      <w:r>
        <w:rPr>
          <w:sz w:val="22"/>
          <w:szCs w:val="22"/>
          <w:rFonts w:ascii="Arial" w:hAnsi="Arial" w:cs="Noto Naskh Arabic"/>
        </w:rPr>
        <w:t xml:space="preserve">این رفرنس بعد از ۲۰۲۰ نیست، اما به دلیل ایرانی بودن مطالعه و استفاده از MIDAS باید افزوده شود.</w:t>
      </w:r>
    </w:p>
    <w:p>
      <w:pPr>
        <w:pStyle w:val="Heading2"/>
        <w:bidi/>
        <w:jc w:val="right"/>
        <w:spacing w:after="110" w:line="330" w:lineRule="auto"/>
        <w:keepNext/>
      </w:pPr>
      <w:r>
        <w:rPr>
          <w:b/>
          <w:sz w:val="24"/>
          <w:szCs w:val="24"/>
          <w:rFonts w:ascii="Arial" w:hAnsi="Arial" w:cs="Noto Naskh Arabic"/>
        </w:rPr>
        <w:t xml:space="preserve">محل استقرار منابع جدید در متن</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tblGrid>
      <w:tr>
        <w:tc>
          <w:tcPr>
            <w:shd w:fill="E9EFF6"/>
          </w:tcPr>
          <w:p>
            <w:pPr>
              <w:bidi/>
              <w:jc w:val="right"/>
              <w:spacing w:after="110" w:line="330" w:lineRule="auto"/>
            </w:pPr>
            <w:r>
              <w:rPr>
                <w:b/>
                <w:sz w:val="18"/>
                <w:szCs w:val="18"/>
                <w:rFonts w:ascii="Arial" w:hAnsi="Arial" w:cs="Noto Naskh Arabic"/>
              </w:rPr>
              <w:t xml:space="preserve">بخش</w:t>
            </w:r>
          </w:p>
        </w:tc>
        <w:tc>
          <w:tcPr>
            <w:shd w:fill="E9EFF6"/>
          </w:tcPr>
          <w:p>
            <w:pPr>
              <w:bidi/>
              <w:jc w:val="right"/>
              <w:spacing w:after="110" w:line="330" w:lineRule="auto"/>
            </w:pPr>
            <w:r>
              <w:rPr>
                <w:b/>
                <w:sz w:val="18"/>
                <w:szCs w:val="18"/>
                <w:rFonts w:ascii="Arial" w:hAnsi="Arial" w:cs="Noto Naskh Arabic"/>
              </w:rPr>
              <w:t xml:space="preserve">منابع</w:t>
            </w:r>
          </w:p>
        </w:tc>
      </w:tr>
      <w:tr>
        <w:tc>
          <w:tcPr/>
          <w:p>
            <w:pPr>
              <w:bidi/>
              <w:jc w:val="right"/>
              <w:spacing w:after="110" w:line="330" w:lineRule="auto"/>
            </w:pPr>
            <w:r>
              <w:rPr>
                <w:sz w:val="18"/>
                <w:szCs w:val="18"/>
                <w:rFonts w:ascii="Arial" w:hAnsi="Arial" w:cs="Noto Naskh Arabic"/>
              </w:rPr>
              <w:t xml:space="preserve">پاراگراف اول مقدمه، شیوع</w:t>
            </w:r>
          </w:p>
        </w:tc>
        <w:tc>
          <w:tcPr/>
          <w:p>
            <w:pPr>
              <w:jc w:val="left"/>
              <w:spacing w:after="110" w:line="330" w:lineRule="auto"/>
            </w:pPr>
            <w:r>
              <w:rPr>
                <w:sz w:val="18"/>
                <w:szCs w:val="18"/>
                <w:rFonts w:ascii="Arial" w:hAnsi="Arial" w:cs="Noto Naskh Arabic"/>
              </w:rPr>
              <w:t xml:space="preserve">Stovner 2022</w:t>
            </w:r>
          </w:p>
        </w:tc>
      </w:tr>
      <w:tr>
        <w:tc>
          <w:tcPr/>
          <w:p>
            <w:pPr>
              <w:bidi/>
              <w:jc w:val="right"/>
              <w:spacing w:after="110" w:line="330" w:lineRule="auto"/>
            </w:pPr>
            <w:r>
              <w:rPr>
                <w:sz w:val="18"/>
                <w:szCs w:val="18"/>
                <w:rFonts w:ascii="Arial" w:hAnsi="Arial" w:cs="Noto Naskh Arabic"/>
              </w:rPr>
              <w:t xml:space="preserve">پاراگراف اول مقدمه، جدیدترین بار جهانی</w:t>
            </w:r>
          </w:p>
        </w:tc>
        <w:tc>
          <w:tcPr/>
          <w:p>
            <w:pPr>
              <w:bidi/>
              <w:jc w:val="right"/>
              <w:spacing w:after="110" w:line="330" w:lineRule="auto"/>
            </w:pPr>
            <w:r>
              <w:rPr>
                <w:sz w:val="18"/>
                <w:szCs w:val="18"/>
                <w:rFonts w:ascii="Arial" w:hAnsi="Arial" w:cs="Noto Naskh Arabic"/>
              </w:rPr>
              <w:t xml:space="preserve">GBD 2023 Headache Collaborators، منتشرشده در 2025</w:t>
            </w:r>
          </w:p>
        </w:tc>
      </w:tr>
      <w:tr>
        <w:tc>
          <w:tcPr/>
          <w:p>
            <w:pPr>
              <w:bidi/>
              <w:jc w:val="right"/>
              <w:spacing w:after="110" w:line="330" w:lineRule="auto"/>
            </w:pPr>
            <w:r>
              <w:rPr>
                <w:sz w:val="18"/>
                <w:szCs w:val="18"/>
                <w:rFonts w:ascii="Arial" w:hAnsi="Arial" w:cs="Noto Naskh Arabic"/>
              </w:rPr>
              <w:t xml:space="preserve">پاراگراف اول مقدمه، بار اقتصادی/نظام سلامت</w:t>
            </w:r>
          </w:p>
        </w:tc>
        <w:tc>
          <w:tcPr/>
          <w:p>
            <w:pPr>
              <w:jc w:val="left"/>
              <w:spacing w:after="110" w:line="330" w:lineRule="auto"/>
            </w:pPr>
            <w:r>
              <w:rPr>
                <w:sz w:val="18"/>
                <w:szCs w:val="18"/>
                <w:rFonts w:ascii="Arial" w:hAnsi="Arial" w:cs="Noto Naskh Arabic"/>
              </w:rPr>
              <w:t xml:space="preserve">Ashina 2021</w:t>
            </w:r>
          </w:p>
        </w:tc>
      </w:tr>
      <w:tr>
        <w:tc>
          <w:tcPr/>
          <w:p>
            <w:pPr>
              <w:bidi/>
              <w:jc w:val="right"/>
              <w:spacing w:after="110" w:line="330" w:lineRule="auto"/>
            </w:pPr>
            <w:r>
              <w:rPr>
                <w:sz w:val="18"/>
                <w:szCs w:val="18"/>
                <w:rFonts w:ascii="Arial" w:hAnsi="Arial" w:cs="Noto Naskh Arabic"/>
              </w:rPr>
              <w:t xml:space="preserve">پاراگراف اول مقدمه، پاتوفیزیولوژی</w:t>
            </w:r>
          </w:p>
        </w:tc>
        <w:tc>
          <w:tcPr/>
          <w:p>
            <w:pPr>
              <w:jc w:val="left"/>
              <w:spacing w:after="110" w:line="330" w:lineRule="auto"/>
            </w:pPr>
            <w:r>
              <w:rPr>
                <w:sz w:val="18"/>
                <w:szCs w:val="18"/>
                <w:rFonts w:ascii="Arial" w:hAnsi="Arial" w:cs="Noto Naskh Arabic"/>
              </w:rPr>
              <w:t xml:space="preserve">Puledda 2023</w:t>
            </w:r>
          </w:p>
        </w:tc>
      </w:tr>
      <w:tr>
        <w:tc>
          <w:tcPr/>
          <w:p>
            <w:pPr>
              <w:bidi/>
              <w:jc w:val="right"/>
              <w:spacing w:after="110" w:line="330" w:lineRule="auto"/>
            </w:pPr>
            <w:r>
              <w:rPr>
                <w:sz w:val="18"/>
                <w:szCs w:val="18"/>
                <w:rFonts w:ascii="Arial" w:hAnsi="Arial" w:cs="Noto Naskh Arabic"/>
              </w:rPr>
              <w:t xml:space="preserve">جمله medication overuse</w:t>
            </w:r>
          </w:p>
        </w:tc>
        <w:tc>
          <w:tcPr/>
          <w:p>
            <w:pPr>
              <w:jc w:val="left"/>
              <w:spacing w:after="110" w:line="330" w:lineRule="auto"/>
            </w:pPr>
            <w:r>
              <w:rPr>
                <w:sz w:val="18"/>
                <w:szCs w:val="18"/>
                <w:rFonts w:ascii="Arial" w:hAnsi="Arial" w:cs="Noto Naskh Arabic"/>
              </w:rPr>
              <w:t xml:space="preserve">Ashina 2023</w:t>
            </w:r>
          </w:p>
        </w:tc>
      </w:tr>
      <w:tr>
        <w:tc>
          <w:tcPr/>
          <w:p>
            <w:pPr>
              <w:bidi/>
              <w:jc w:val="right"/>
              <w:spacing w:after="110" w:line="330" w:lineRule="auto"/>
            </w:pPr>
            <w:r>
              <w:rPr>
                <w:sz w:val="18"/>
                <w:szCs w:val="18"/>
                <w:rFonts w:ascii="Arial" w:hAnsi="Arial" w:cs="Noto Naskh Arabic"/>
              </w:rPr>
              <w:t xml:space="preserve">شواهد supraorbital eTNS</w:t>
            </w:r>
          </w:p>
        </w:tc>
        <w:tc>
          <w:tcPr/>
          <w:p>
            <w:pPr>
              <w:bidi/>
              <w:jc w:val="right"/>
              <w:spacing w:after="110" w:line="330" w:lineRule="auto"/>
            </w:pPr>
            <w:r>
              <w:rPr>
                <w:sz w:val="18"/>
                <w:szCs w:val="18"/>
                <w:rFonts w:ascii="Arial" w:hAnsi="Arial" w:cs="Noto Naskh Arabic"/>
              </w:rPr>
              <w:t xml:space="preserve">Stanak 2020، Evans 2022 و Cocores 2025</w:t>
            </w:r>
          </w:p>
        </w:tc>
      </w:tr>
      <w:tr>
        <w:tc>
          <w:tcPr/>
          <w:p>
            <w:pPr>
              <w:bidi/>
              <w:jc w:val="right"/>
              <w:spacing w:after="110" w:line="330" w:lineRule="auto"/>
            </w:pPr>
            <w:r>
              <w:rPr>
                <w:sz w:val="18"/>
                <w:szCs w:val="18"/>
                <w:rFonts w:ascii="Arial" w:hAnsi="Arial" w:cs="Noto Naskh Arabic"/>
              </w:rPr>
              <w:t xml:space="preserve">نبود شواهد مستقیم infraorbital</w:t>
            </w:r>
          </w:p>
        </w:tc>
        <w:tc>
          <w:tcPr/>
          <w:p>
            <w:pPr>
              <w:jc w:val="left"/>
              <w:spacing w:after="110" w:line="330" w:lineRule="auto"/>
            </w:pPr>
            <w:r>
              <w:rPr>
                <w:sz w:val="18"/>
                <w:szCs w:val="18"/>
                <w:rFonts w:ascii="Arial" w:hAnsi="Arial" w:cs="Noto Naskh Arabic"/>
              </w:rPr>
              <w:t xml:space="preserve">Zhou 2021</w:t>
            </w:r>
          </w:p>
        </w:tc>
      </w:tr>
      <w:tr>
        <w:tc>
          <w:tcPr/>
          <w:p>
            <w:pPr>
              <w:bidi/>
              <w:jc w:val="right"/>
              <w:spacing w:after="110" w:line="330" w:lineRule="auto"/>
            </w:pPr>
            <w:r>
              <w:rPr>
                <w:sz w:val="18"/>
                <w:szCs w:val="18"/>
                <w:rFonts w:ascii="Arial" w:hAnsi="Arial" w:cs="Noto Naskh Arabic"/>
              </w:rPr>
              <w:t xml:space="preserve">مقایسه جدید با درمان دارویی</w:t>
            </w:r>
          </w:p>
        </w:tc>
        <w:tc>
          <w:tcPr/>
          <w:p>
            <w:pPr>
              <w:jc w:val="left"/>
              <w:spacing w:after="110" w:line="330" w:lineRule="auto"/>
            </w:pPr>
            <w:r>
              <w:rPr>
                <w:sz w:val="18"/>
                <w:szCs w:val="18"/>
                <w:rFonts w:ascii="Arial" w:hAnsi="Arial" w:cs="Noto Naskh Arabic"/>
              </w:rPr>
              <w:t xml:space="preserve">Ye 2026</w:t>
            </w:r>
          </w:p>
        </w:tc>
      </w:tr>
      <w:tr>
        <w:tc>
          <w:tcPr/>
          <w:p>
            <w:pPr>
              <w:bidi/>
              <w:jc w:val="right"/>
              <w:spacing w:after="110" w:line="330" w:lineRule="auto"/>
            </w:pPr>
            <w:r>
              <w:rPr>
                <w:sz w:val="18"/>
                <w:szCs w:val="18"/>
                <w:rFonts w:ascii="Arial" w:hAnsi="Arial" w:cs="Noto Naskh Arabic"/>
              </w:rPr>
              <w:t xml:space="preserve">محدودیت قطعیت و توصیه بالینی</w:t>
            </w:r>
          </w:p>
        </w:tc>
        <w:tc>
          <w:tcPr/>
          <w:p>
            <w:pPr>
              <w:jc w:val="left"/>
              <w:spacing w:after="110" w:line="330" w:lineRule="auto"/>
            </w:pPr>
            <w:r>
              <w:rPr>
                <w:sz w:val="18"/>
                <w:szCs w:val="18"/>
                <w:rFonts w:ascii="Arial" w:hAnsi="Arial" w:cs="Noto Naskh Arabic"/>
              </w:rPr>
              <w:t xml:space="preserve">IHS 2025</w:t>
            </w:r>
          </w:p>
        </w:tc>
      </w:tr>
      <w:tr>
        <w:tc>
          <w:tcPr/>
          <w:p>
            <w:pPr>
              <w:bidi/>
              <w:jc w:val="right"/>
              <w:spacing w:after="110" w:line="330" w:lineRule="auto"/>
            </w:pPr>
            <w:r>
              <w:rPr>
                <w:sz w:val="18"/>
                <w:szCs w:val="18"/>
                <w:rFonts w:ascii="Arial" w:hAnsi="Arial" w:cs="Noto Naskh Arabic"/>
              </w:rPr>
              <w:t xml:space="preserve">تعریف پیامد پیشگیری و diary baseline</w:t>
            </w:r>
          </w:p>
        </w:tc>
        <w:tc>
          <w:tcPr/>
          <w:p>
            <w:pPr>
              <w:jc w:val="left"/>
              <w:spacing w:after="110" w:line="330" w:lineRule="auto"/>
            </w:pPr>
            <w:r>
              <w:rPr>
                <w:sz w:val="18"/>
                <w:szCs w:val="18"/>
                <w:rFonts w:ascii="Arial" w:hAnsi="Arial" w:cs="Noto Naskh Arabic"/>
              </w:rPr>
              <w:t xml:space="preserve">IHS preventive trials 2020</w:t>
            </w:r>
          </w:p>
        </w:tc>
      </w:tr>
      <w:tr>
        <w:tc>
          <w:tcPr/>
          <w:p>
            <w:pPr>
              <w:bidi/>
              <w:jc w:val="right"/>
              <w:spacing w:after="110" w:line="330" w:lineRule="auto"/>
            </w:pPr>
            <w:r>
              <w:rPr>
                <w:sz w:val="18"/>
                <w:szCs w:val="18"/>
                <w:rFonts w:ascii="Arial" w:hAnsi="Arial" w:cs="Noto Naskh Arabic"/>
              </w:rPr>
              <w:t xml:space="preserve">sham، blinding و طراحی دستگاه</w:t>
            </w:r>
          </w:p>
        </w:tc>
        <w:tc>
          <w:tcPr/>
          <w:p>
            <w:pPr>
              <w:jc w:val="left"/>
              <w:spacing w:after="110" w:line="330" w:lineRule="auto"/>
            </w:pPr>
            <w:r>
              <w:rPr>
                <w:sz w:val="18"/>
                <w:szCs w:val="18"/>
                <w:rFonts w:ascii="Arial" w:hAnsi="Arial" w:cs="Noto Naskh Arabic"/>
              </w:rPr>
              <w:t xml:space="preserve">IHS device trials 2021</w:t>
            </w:r>
          </w:p>
        </w:tc>
      </w:tr>
      <w:tr>
        <w:tc>
          <w:tcPr/>
          <w:p>
            <w:pPr>
              <w:bidi/>
              <w:jc w:val="right"/>
              <w:spacing w:after="110" w:line="330" w:lineRule="auto"/>
            </w:pPr>
            <w:r>
              <w:rPr>
                <w:sz w:val="18"/>
                <w:szCs w:val="18"/>
                <w:rFonts w:ascii="Arial" w:hAnsi="Arial" w:cs="Noto Naskh Arabic"/>
              </w:rPr>
              <w:t xml:space="preserve">گزارش کلی کارآزمایی</w:t>
            </w:r>
          </w:p>
        </w:tc>
        <w:tc>
          <w:tcPr/>
          <w:p>
            <w:pPr>
              <w:jc w:val="left"/>
              <w:spacing w:after="110" w:line="330" w:lineRule="auto"/>
            </w:pPr>
            <w:r>
              <w:rPr>
                <w:sz w:val="18"/>
                <w:szCs w:val="18"/>
                <w:rFonts w:ascii="Arial" w:hAnsi="Arial" w:cs="Noto Naskh Arabic"/>
              </w:rPr>
              <w:t xml:space="preserve">CONSORT 2025</w:t>
            </w:r>
          </w:p>
        </w:tc>
      </w:tr>
      <w:tr>
        <w:tc>
          <w:tcPr/>
          <w:p>
            <w:pPr>
              <w:bidi/>
              <w:jc w:val="right"/>
              <w:spacing w:after="110" w:line="330" w:lineRule="auto"/>
            </w:pPr>
            <w:r>
              <w:rPr>
                <w:sz w:val="18"/>
                <w:szCs w:val="18"/>
                <w:rFonts w:ascii="Arial" w:hAnsi="Arial" w:cs="Noto Naskh Arabic"/>
              </w:rPr>
              <w:t xml:space="preserve">گزارش عوارض</w:t>
            </w:r>
          </w:p>
        </w:tc>
        <w:tc>
          <w:tcPr/>
          <w:p>
            <w:pPr>
              <w:jc w:val="left"/>
              <w:spacing w:after="110" w:line="330" w:lineRule="auto"/>
            </w:pPr>
            <w:r>
              <w:rPr>
                <w:sz w:val="18"/>
                <w:szCs w:val="18"/>
                <w:rFonts w:ascii="Arial" w:hAnsi="Arial" w:cs="Noto Naskh Arabic"/>
              </w:rPr>
              <w:t xml:space="preserve">CONSORT Harms 2022</w:t>
            </w:r>
          </w:p>
        </w:tc>
      </w:tr>
      <w:tr>
        <w:tc>
          <w:tcPr/>
          <w:p>
            <w:pPr>
              <w:bidi/>
              <w:jc w:val="right"/>
              <w:spacing w:after="110" w:line="330" w:lineRule="auto"/>
            </w:pPr>
            <w:r>
              <w:rPr>
                <w:sz w:val="18"/>
                <w:szCs w:val="18"/>
                <w:rFonts w:ascii="Arial" w:hAnsi="Arial" w:cs="Noto Naskh Arabic"/>
              </w:rPr>
              <w:t xml:space="preserve">MIDAS فارسی</w:t>
            </w:r>
          </w:p>
        </w:tc>
        <w:tc>
          <w:tcPr/>
          <w:p>
            <w:pPr>
              <w:jc w:val="left"/>
              <w:spacing w:after="110" w:line="330" w:lineRule="auto"/>
            </w:pPr>
            <w:r>
              <w:rPr>
                <w:sz w:val="18"/>
                <w:szCs w:val="18"/>
                <w:rFonts w:ascii="Arial" w:hAnsi="Arial" w:cs="Noto Naskh Arabic"/>
              </w:rPr>
              <w:t xml:space="preserve">Zandifar 2014</w:t>
            </w:r>
          </w:p>
        </w:tc>
      </w:tr>
    </w:tbl>
    <w:p>
      <w:pPr>
        <w:pStyle w:val="Heading2"/>
        <w:bidi/>
        <w:jc w:val="right"/>
        <w:spacing w:after="110" w:line="330" w:lineRule="auto"/>
        <w:keepNext/>
      </w:pPr>
      <w:r>
        <w:rPr>
          <w:b/>
          <w:sz w:val="24"/>
          <w:szCs w:val="24"/>
          <w:rFonts w:ascii="Arial" w:hAnsi="Arial" w:cs="Noto Naskh Arabic"/>
        </w:rPr>
        <w:t xml:space="preserve">منابعی که بهتر است حذف یا محدود شوند</w:t>
      </w:r>
    </w:p>
    <w:p>
      <w:pPr>
        <w:bidi/>
        <w:jc w:val="right"/>
        <w:spacing w:after="110" w:line="330" w:lineRule="auto"/>
      </w:pPr>
      <w:r>
        <w:rPr>
          <w:sz w:val="22"/>
          <w:szCs w:val="22"/>
          <w:rFonts w:ascii="Arial" w:hAnsi="Arial" w:cs="Noto Naskh Arabic"/>
        </w:rPr>
        <w:t xml:space="preserve">• حذف از استدلال اثربخشی: ۱۶، ۱۷، ۲۴ و ۳۱.</w:t>
      </w:r>
    </w:p>
    <w:p>
      <w:pPr>
        <w:bidi/>
        <w:jc w:val="right"/>
        <w:spacing w:after="110" w:line="330" w:lineRule="auto"/>
      </w:pPr>
      <w:r>
        <w:rPr>
          <w:sz w:val="22"/>
          <w:szCs w:val="22"/>
          <w:rFonts w:ascii="Arial" w:hAnsi="Arial" w:cs="Noto Naskh Arabic"/>
        </w:rPr>
        <w:t xml:space="preserve">• فقط شواهد اکتشافی/بدون کنترل: ۱۸، ۱۹ و ۲۰.</w:t>
      </w:r>
    </w:p>
    <w:p>
      <w:pPr>
        <w:bidi/>
        <w:jc w:val="right"/>
        <w:spacing w:after="110" w:line="330" w:lineRule="auto"/>
      </w:pPr>
      <w:r>
        <w:rPr>
          <w:sz w:val="22"/>
          <w:szCs w:val="22"/>
          <w:rFonts w:ascii="Arial" w:hAnsi="Arial" w:cs="Noto Naskh Arabic"/>
        </w:rPr>
        <w:t xml:space="preserve">• فقط درمان حاد: ۲۵.</w:t>
      </w:r>
    </w:p>
    <w:p>
      <w:pPr>
        <w:bidi/>
        <w:jc w:val="right"/>
        <w:spacing w:after="110" w:line="330" w:lineRule="auto"/>
      </w:pPr>
      <w:r>
        <w:rPr>
          <w:sz w:val="22"/>
          <w:szCs w:val="22"/>
          <w:rFonts w:ascii="Arial" w:hAnsi="Arial" w:cs="Noto Naskh Arabic"/>
        </w:rPr>
        <w:t xml:space="preserve">• فقط مکانیسم عمومی: ۱۳، ۲۸ و ۲۹.</w:t>
      </w:r>
    </w:p>
    <w:p>
      <w:pPr>
        <w:bidi/>
        <w:jc w:val="right"/>
        <w:spacing w:after="110" w:line="330" w:lineRule="auto"/>
      </w:pPr>
      <w:r>
        <w:rPr>
          <w:sz w:val="22"/>
          <w:szCs w:val="22"/>
          <w:rFonts w:ascii="Arial" w:hAnsi="Arial" w:cs="Noto Naskh Arabic"/>
        </w:rPr>
        <w:t xml:space="preserve">• فقط شاهد غیرمستقیم infraorbital: ۲۳.</w:t>
      </w:r>
    </w:p>
    <w:p>
      <w:pPr>
        <w:bidi/>
        <w:jc w:val="right"/>
        <w:spacing w:after="110" w:line="330" w:lineRule="auto"/>
      </w:pPr>
      <w:r>
        <w:rPr>
          <w:sz w:val="22"/>
          <w:szCs w:val="22"/>
          <w:rFonts w:ascii="Arial" w:hAnsi="Arial" w:cs="Noto Naskh Arabic"/>
        </w:rPr>
        <w:t xml:space="preserve">• فقط شاهد غیرمستقیم modality دیگر: ۴۰.</w:t>
      </w:r>
    </w:p>
    <w:p>
      <w:pPr>
        <w:pStyle w:val="Heading2"/>
        <w:bidi/>
        <w:jc w:val="right"/>
        <w:spacing w:after="110" w:line="330" w:lineRule="auto"/>
        <w:keepNext/>
      </w:pPr>
      <w:r>
        <w:rPr>
          <w:b/>
          <w:sz w:val="24"/>
          <w:szCs w:val="24"/>
          <w:rFonts w:ascii="Arial" w:hAnsi="Arial" w:cs="Noto Naskh Arabic"/>
        </w:rPr>
        <w:t xml:space="preserve">نتیجه</w:t>
      </w:r>
    </w:p>
    <w:p>
      <w:pPr>
        <w:bidi/>
        <w:jc w:val="right"/>
        <w:spacing w:after="110" w:line="330" w:lineRule="auto"/>
      </w:pPr>
      <w:r>
        <w:rPr>
          <w:sz w:val="22"/>
          <w:szCs w:val="22"/>
          <w:rFonts w:ascii="Arial" w:hAnsi="Arial" w:cs="Noto Naskh Arabic"/>
        </w:rPr>
        <w:t xml:space="preserve">فهرست منابع فعلی بیش از حد به مطالعات قدیمی، کوچک، بدون کنترل و device-specific تکیه دارد. منابع جدید افزوده‌شده روایت را متعادل می‌کنند: ممکن است برای eTNS supraorbital سیگنال سود وجود داشته باشد، اما کیفیت و قابلیت تعمیم شواهد محدود است و برای TENS سطحی infraorbital شاهد تأییدی مستقل وجود ندارد.</w:t>
      </w:r>
    </w:p>
    <w:p>
      <w:r>
        <w:br w:type="page"/>
      </w:r>
    </w:p>
    <w:p>
      <w:pPr>
        <w:pStyle w:val="Title"/>
        <w:jc w:val="left"/>
        <w:spacing w:after="110" w:line="330" w:lineRule="auto"/>
        <w:keepNext/>
      </w:pPr>
      <w:r>
        <w:rPr>
          <w:b/>
          <w:sz w:val="36"/>
          <w:szCs w:val="36"/>
          <w:rFonts w:ascii="Arial" w:hAnsi="Arial" w:cs="Noto Naskh Arabic"/>
        </w:rPr>
        <w:t xml:space="preserve">Revised English Manuscript</w:t>
      </w:r>
    </w:p>
    <w:p>
      <w:pPr>
        <w:pStyle w:val="Heading1"/>
        <w:jc w:val="left"/>
        <w:spacing w:after="110" w:line="330" w:lineRule="auto"/>
        <w:keepNext/>
      </w:pPr>
      <w:r>
        <w:rPr>
          <w:b/>
          <w:sz w:val="28"/>
          <w:szCs w:val="28"/>
          <w:rFonts w:ascii="Arial" w:hAnsi="Arial" w:cs="Noto Naskh Arabic"/>
        </w:rPr>
        <w:t xml:space="preserve">Revised manuscript draft</w:t>
      </w:r>
    </w:p>
    <w:p>
      <w:pPr>
        <w:bidi/>
        <w:jc w:val="right"/>
        <w:spacing w:after="110" w:line="330" w:lineRule="auto"/>
      </w:pPr>
      <w:r>
        <w:rPr>
          <w:sz w:val="21"/>
          <w:szCs w:val="21"/>
          <w:rFonts w:ascii="Arial" w:hAnsi="Arial" w:cs="Noto Naskh Arabic"/>
        </w:rPr>
        <w:t xml:space="preserve">نکته: Editorial status: This is a scientifically conservative reconstruction based only on the aggregate information in the supplied PDF. Bracketed fields require author verification. Confirmatory statistical results must be inserted after reanalysis of participant-level data. This draft must not be submitted until the ethics, registration, randomization, and data-audit items are resolved.</w:t>
      </w:r>
    </w:p>
    <w:p>
      <w:pPr>
        <w:pStyle w:val="Heading2"/>
        <w:jc w:val="left"/>
        <w:spacing w:after="110" w:line="330" w:lineRule="auto"/>
        <w:keepNext/>
      </w:pPr>
      <w:r>
        <w:rPr>
          <w:b/>
          <w:sz w:val="24"/>
          <w:szCs w:val="24"/>
          <w:rFonts w:ascii="Arial" w:hAnsi="Arial" w:cs="Noto Naskh Arabic"/>
        </w:rPr>
        <w:t xml:space="preserve">Title</w:t>
      </w:r>
    </w:p>
    <w:p>
      <w:pPr>
        <w:jc w:val="left"/>
        <w:spacing w:after="110" w:line="330" w:lineRule="auto"/>
      </w:pPr>
      <w:r>
        <w:rPr>
          <w:sz w:val="22"/>
          <w:szCs w:val="22"/>
          <w:rFonts w:ascii="Arial" w:hAnsi="Arial" w:cs="Noto Naskh Arabic"/>
        </w:rPr>
        <w:t xml:space="preserve">Supraorbital versus infraorbital external trigeminal nerve stimulation for migraine prevention: a three-arm assessor-blinded randomized sham-controlled trial</w:t>
      </w:r>
    </w:p>
    <w:p>
      <w:pPr>
        <w:jc w:val="left"/>
        <w:spacing w:after="110" w:line="330" w:lineRule="auto"/>
      </w:pPr>
      <w:r>
        <w:rPr>
          <w:sz w:val="22"/>
          <w:szCs w:val="22"/>
          <w:rFonts w:ascii="Arial" w:hAnsi="Arial" w:cs="Noto Naskh Arabic"/>
        </w:rPr>
        <w:t xml:space="preserve">Use “randomized” only if the allocation records verify random sequence generation and implementation.</w:t>
      </w:r>
    </w:p>
    <w:p>
      <w:pPr>
        <w:pStyle w:val="Heading2"/>
        <w:jc w:val="left"/>
        <w:spacing w:after="110" w:line="330" w:lineRule="auto"/>
        <w:keepNext/>
      </w:pPr>
      <w:r>
        <w:rPr>
          <w:b/>
          <w:sz w:val="24"/>
          <w:szCs w:val="24"/>
          <w:rFonts w:ascii="Arial" w:hAnsi="Arial" w:cs="Noto Naskh Arabic"/>
        </w:rPr>
        <w:t xml:space="preserve">Abstract</w:t>
      </w:r>
    </w:p>
    <w:p>
      <w:pPr>
        <w:pStyle w:val="Heading3"/>
        <w:jc w:val="left"/>
        <w:spacing w:after="110" w:line="330" w:lineRule="auto"/>
        <w:keepNext/>
      </w:pPr>
      <w:r>
        <w:rPr>
          <w:b/>
          <w:sz w:val="20"/>
          <w:szCs w:val="20"/>
          <w:rFonts w:ascii="Arial" w:hAnsi="Arial" w:cs="Noto Naskh Arabic"/>
        </w:rPr>
        <w:t xml:space="preserve">Background</w:t>
      </w:r>
    </w:p>
    <w:p>
      <w:pPr>
        <w:jc w:val="left"/>
        <w:spacing w:after="110" w:line="330" w:lineRule="auto"/>
      </w:pPr>
      <w:r>
        <w:rPr>
          <w:sz w:val="22"/>
          <w:szCs w:val="22"/>
          <w:rFonts w:ascii="Arial" w:hAnsi="Arial" w:cs="Noto Naskh Arabic"/>
        </w:rPr>
        <w:t xml:space="preserve">External trigeminal nerve stimulation is a non-invasive option for migraine prevention, but evidence directly comparing stimulation sites is limited. We assessed supraorbital and infraorbital transcutaneous electrical nerve stimulation (TENS) against an inert sham condition.</w:t>
      </w:r>
    </w:p>
    <w:p>
      <w:pPr>
        <w:pStyle w:val="Heading3"/>
        <w:jc w:val="left"/>
        <w:spacing w:after="110" w:line="330" w:lineRule="auto"/>
        <w:keepNext/>
      </w:pPr>
      <w:r>
        <w:rPr>
          <w:b/>
          <w:sz w:val="20"/>
          <w:szCs w:val="20"/>
          <w:rFonts w:ascii="Arial" w:hAnsi="Arial" w:cs="Noto Naskh Arabic"/>
        </w:rPr>
        <w:t xml:space="preserve">Methods</w:t>
      </w:r>
    </w:p>
    <w:p>
      <w:pPr>
        <w:jc w:val="left"/>
        <w:spacing w:after="110" w:line="330" w:lineRule="auto"/>
      </w:pPr>
      <w:r>
        <w:rPr>
          <w:sz w:val="22"/>
          <w:szCs w:val="22"/>
          <w:rFonts w:ascii="Arial" w:hAnsi="Arial" w:cs="Noto Naskh Arabic"/>
        </w:rPr>
        <w:t xml:space="preserve">In this single-center, three-arm trial, adults with migraine were allocated to supraorbital TENS (n=28), infraorbital TENS (n=27), or supraorbital sham stimulation (n=28). Active stimulation was administered in clinic at 100 Hz and 200 μs for 30 min per session, six sessions weekly for four weeks. The sham device delivered no current. The prespecified primary outcome was [verify against the dated registry and protocol] monthly migraine attack frequency at three months. Secondary outcomes were pain intensity, MIDAS, HIT-6, acute oral analgesic-use frequency, and MPQ-5 score. Outcome assessment and analysis were masked to allocation; successful participant masking was not established. Primary comparisons should be reanalyzed using a baseline-adjusted model with multiplicity control.</w:t>
      </w:r>
    </w:p>
    <w:p>
      <w:pPr>
        <w:pStyle w:val="Heading3"/>
        <w:jc w:val="left"/>
        <w:spacing w:after="110" w:line="330" w:lineRule="auto"/>
        <w:keepNext/>
      </w:pPr>
      <w:r>
        <w:rPr>
          <w:b/>
          <w:sz w:val="20"/>
          <w:szCs w:val="20"/>
          <w:rFonts w:ascii="Arial" w:hAnsi="Arial" w:cs="Noto Naskh Arabic"/>
        </w:rPr>
        <w:t xml:space="preserve">Results</w:t>
      </w:r>
    </w:p>
    <w:p>
      <w:pPr>
        <w:jc w:val="left"/>
        <w:spacing w:after="110" w:line="330" w:lineRule="auto"/>
      </w:pPr>
      <w:r>
        <w:rPr>
          <w:sz w:val="22"/>
          <w:szCs w:val="22"/>
          <w:rFonts w:ascii="Arial" w:hAnsi="Arial" w:cs="Noto Naskh Arabic"/>
        </w:rPr>
        <w:t xml:space="preserve">All 83 allocated participants were reported to have completed three-month follow-up. At three months, the unadjusted mean monthly attack frequencies were 6.59 (SD 2.70), 6.16 (SD 2.48), and 12.94 (SD 5.01) in the supraorbital, infraorbital, and sham groups, respectively. The corresponding unadjusted endpoint mean differences versus sham were −6.35 attacks/month (approximate Welch 95% CI −8.52 to −4.18) and −6.78 attacks/month (−8.92 to −4.64). These aggregate-data contrasts are descriptive pending baseline-adjusted participant-level reanalysis. The supraorbital–infraorbital contrast was inconclusive (0.43 attacks/month, −0.97 to 1.83). Mild local sensations were commonly reported in both active groups; no serious adverse event was detected in this small, short trial.</w:t>
      </w:r>
    </w:p>
    <w:p>
      <w:pPr>
        <w:pStyle w:val="Heading3"/>
        <w:jc w:val="left"/>
        <w:spacing w:after="110" w:line="330" w:lineRule="auto"/>
        <w:keepNext/>
      </w:pPr>
      <w:r>
        <w:rPr>
          <w:b/>
          <w:sz w:val="20"/>
          <w:szCs w:val="20"/>
          <w:rFonts w:ascii="Arial" w:hAnsi="Arial" w:cs="Noto Naskh Arabic"/>
        </w:rPr>
        <w:t xml:space="preserve">Conclusions</w:t>
      </w:r>
    </w:p>
    <w:p>
      <w:pPr>
        <w:jc w:val="left"/>
        <w:spacing w:after="110" w:line="330" w:lineRule="auto"/>
      </w:pPr>
      <w:r>
        <w:rPr>
          <w:sz w:val="22"/>
          <w:szCs w:val="22"/>
          <w:rFonts w:ascii="Arial" w:hAnsi="Arial" w:cs="Noto Naskh Arabic"/>
        </w:rPr>
        <w:t xml:space="preserve">The reported aggregate data show a preliminary efficacy signal for both active protocols relative to an inert sham in patients able to attend an intensive clinic schedule. Uncertain allocation details, likely compromised participant masking, a site-mismatched sham, outcome-measure limitations, and insufficient power for the active-site comparison preclude confirmatory conclusions about efficacy or equivalence. Verification of prospective registration and randomization, followed by prespecified reanalysis of participant-level data, is required.</w:t>
      </w:r>
    </w:p>
    <w:p>
      <w:pPr>
        <w:jc w:val="left"/>
        <w:spacing w:after="110" w:line="330" w:lineRule="auto"/>
      </w:pPr>
      <w:r>
        <w:rPr>
          <w:sz w:val="22"/>
          <w:szCs w:val="22"/>
          <w:rFonts w:ascii="Arial" w:hAnsi="Arial" w:cs="Noto Naskh Arabic"/>
        </w:rPr>
        <w:t xml:space="preserve">Trial registration: IRCT [identifier; URL; registration date].</w:t>
      </w:r>
    </w:p>
    <w:p>
      <w:pPr>
        <w:jc w:val="left"/>
        <w:spacing w:after="110" w:line="330" w:lineRule="auto"/>
      </w:pPr>
      <w:r>
        <w:rPr>
          <w:sz w:val="22"/>
          <w:szCs w:val="22"/>
          <w:rFonts w:ascii="Arial" w:hAnsi="Arial" w:cs="Noto Naskh Arabic"/>
        </w:rPr>
        <w:t xml:space="preserve">Ethics approval: [committee; approval identifier; approval date].</w:t>
      </w:r>
    </w:p>
    <w:p>
      <w:pPr>
        <w:jc w:val="left"/>
        <w:spacing w:after="110" w:line="330" w:lineRule="auto"/>
      </w:pPr>
      <w:r>
        <w:rPr>
          <w:sz w:val="22"/>
          <w:szCs w:val="22"/>
          <w:rFonts w:ascii="Arial" w:hAnsi="Arial" w:cs="Noto Naskh Arabic"/>
        </w:rPr>
        <w:t xml:space="preserve">First participant enrolled: [date].</w:t>
      </w:r>
    </w:p>
    <w:p>
      <w:pPr>
        <w:jc w:val="left"/>
        <w:spacing w:after="110" w:line="330" w:lineRule="auto"/>
      </w:pPr>
      <w:r>
        <w:rPr>
          <w:sz w:val="22"/>
          <w:szCs w:val="22"/>
          <w:rFonts w:ascii="Arial" w:hAnsi="Arial" w:cs="Noto Naskh Arabic"/>
        </w:rPr>
        <w:t xml:space="preserve">Keywords: migraine; external trigeminal nerve stimulation; transcutaneous electrical nerve stimulation; supraorbital nerve; infraorbital nerve; randomized trial</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1. Introduction</w:t>
      </w:r>
    </w:p>
    <w:p>
      <w:pPr>
        <w:jc w:val="left"/>
        <w:spacing w:after="110" w:line="330" w:lineRule="auto"/>
      </w:pPr>
      <w:r>
        <w:rPr>
          <w:sz w:val="22"/>
          <w:szCs w:val="22"/>
          <w:rFonts w:ascii="Arial" w:hAnsi="Arial" w:cs="Noto Naskh Arabic"/>
        </w:rPr>
        <w:t xml:space="preserve">Migraine is a leading cause of years lived with disability worldwide and is characterized by recurrent headache and associated sensory and autonomic symptoms [1,2,34]. The GBD 2023 analysis confirms that headache disorders remain highly prevalent and that migraine accounts for most headache-attributed years lived with disability [53]. An updated global synthesis estimated the prevalence of active migraine at 14.0% and headache on at least 15 days per month at 4.6% [41]. Migraine imposes substantial individual, economic, and health-system burdens [42]. Current models describe altered processing across cortical, subcortical, brainstem, and trigeminovascular networks [43]. Preventive pharmacotherapy can reduce migraine burden, but contraindications, inadequate response, adverse effects, and medication overuse motivate the evaluation of non-pharmacological options [10,50].</w:t>
      </w:r>
    </w:p>
    <w:p>
      <w:pPr>
        <w:jc w:val="left"/>
        <w:spacing w:after="110" w:line="330" w:lineRule="auto"/>
      </w:pPr>
      <w:r>
        <w:rPr>
          <w:sz w:val="22"/>
          <w:szCs w:val="22"/>
          <w:rFonts w:ascii="Arial" w:hAnsi="Arial" w:cs="Noto Naskh Arabic"/>
        </w:rPr>
        <w:t xml:space="preserve">Non-invasive neuromodulation can alter nociceptive signaling without an implanted device. External stimulation of the supraorbital and supratrochlear branches of the trigeminal nerve has been evaluated for migraine prevention, including in a small sham-controlled trial and systematic reviews [15,26,44,46,55]. The certainty of evidence remains limited, and current recommendations are device-specific and conditional [47]. Efficacy estimates cannot be generalized across devices, electrode geometries, targets, waveforms, or dose schedules. Direct evidence for surface infraorbital stimulation in migraine is lacking; one small uncontrolled study evaluated combined supraorbital and infraorbital lidocaine blocks and could not isolate the infraorbital contribution [23,54].</w:t>
      </w:r>
    </w:p>
    <w:p>
      <w:pPr>
        <w:jc w:val="left"/>
        <w:spacing w:after="110" w:line="330" w:lineRule="auto"/>
      </w:pPr>
      <w:r>
        <w:rPr>
          <w:sz w:val="22"/>
          <w:szCs w:val="22"/>
          <w:rFonts w:ascii="Arial" w:hAnsi="Arial" w:cs="Noto Naskh Arabic"/>
        </w:rPr>
        <w:t xml:space="preserve">We therefore evaluated two facial TENS placements—supraorbital and infraorbital—against an inert supraorbital sham condition. The primary objective was to estimate each active treatment’s effect on monthly migraine attack frequency at three months relative to sham. The comparison between active sites was exploratory because the study was not designed for equivalence or non-inferiority.</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2. Methods</w:t>
      </w:r>
    </w:p>
    <w:p>
      <w:pPr>
        <w:pStyle w:val="Heading3"/>
        <w:jc w:val="left"/>
        <w:spacing w:after="110" w:line="330" w:lineRule="auto"/>
        <w:keepNext/>
      </w:pPr>
      <w:r>
        <w:rPr>
          <w:b/>
          <w:sz w:val="20"/>
          <w:szCs w:val="20"/>
          <w:rFonts w:ascii="Arial" w:hAnsi="Arial" w:cs="Noto Naskh Arabic"/>
        </w:rPr>
        <w:t xml:space="preserve">2.1 Study design, reporting, and oversight</w:t>
      </w:r>
    </w:p>
    <w:p>
      <w:pPr>
        <w:jc w:val="left"/>
        <w:spacing w:after="110" w:line="330" w:lineRule="auto"/>
      </w:pPr>
      <w:r>
        <w:rPr>
          <w:sz w:val="22"/>
          <w:szCs w:val="22"/>
          <w:rFonts w:ascii="Arial" w:hAnsi="Arial" w:cs="Noto Naskh Arabic"/>
        </w:rPr>
        <w:t xml:space="preserve">This single-center, three-arm, parallel-group trial was conducted at the outpatient Physical Medicine and Rehabilitation clinics of Isfahan University of Medical Sciences, Iran, between [first recruitment date] and [final follow-up date].</w:t>
      </w:r>
    </w:p>
    <w:p>
      <w:pPr>
        <w:jc w:val="left"/>
        <w:spacing w:after="110" w:line="330" w:lineRule="auto"/>
      </w:pPr>
      <w:r>
        <w:rPr>
          <w:sz w:val="22"/>
          <w:szCs w:val="22"/>
          <w:rFonts w:ascii="Arial" w:hAnsi="Arial" w:cs="Noto Naskh Arabic"/>
        </w:rPr>
        <w:t xml:space="preserve">The protocol was approved by [full committee name] on [date] (approval [identifier]) and registered at the Iranian Registry of Clinical Trials on [date] (IRCT [identifier]; [URL]) before enrollment of the first participant on [date]. Written informed consent was obtained from all participants. Any discrepancy between the original registry/protocol and this report is listed in Supplementary Table S1 with its date, rationale, and whether it occurred before access to outcome data.</w:t>
      </w:r>
    </w:p>
    <w:p>
      <w:pPr>
        <w:jc w:val="left"/>
        <w:spacing w:after="110" w:line="330" w:lineRule="auto"/>
      </w:pPr>
      <w:r>
        <w:rPr>
          <w:sz w:val="22"/>
          <w:szCs w:val="22"/>
          <w:rFonts w:ascii="Arial" w:hAnsi="Arial" w:cs="Noto Naskh Arabic"/>
        </w:rPr>
        <w:t xml:space="preserve">Reporting follows CONSORT 2025, CONSORT Harms 2022, the CONSORT extension for non-pharmacological interventions, and TIDieR [48,49]. The dated protocol and statistical analysis plan are available at [repository/URL].</w:t>
      </w:r>
    </w:p>
    <w:p>
      <w:pPr>
        <w:bidi/>
        <w:jc w:val="right"/>
        <w:spacing w:after="110" w:line="330" w:lineRule="auto"/>
      </w:pPr>
      <w:r>
        <w:rPr>
          <w:sz w:val="21"/>
          <w:szCs w:val="21"/>
          <w:rFonts w:ascii="Arial" w:hAnsi="Arial" w:cs="Noto Naskh Arabic"/>
        </w:rPr>
        <w:t xml:space="preserve">نکته: If registration occurred after enrollment, replace the prospective-registration sentence with the factual chronology and explain the delay.</w:t>
      </w:r>
    </w:p>
    <w:p>
      <w:pPr>
        <w:pStyle w:val="Heading3"/>
        <w:jc w:val="left"/>
        <w:spacing w:after="110" w:line="330" w:lineRule="auto"/>
        <w:keepNext/>
      </w:pPr>
      <w:r>
        <w:rPr>
          <w:b/>
          <w:sz w:val="20"/>
          <w:szCs w:val="20"/>
          <w:rFonts w:ascii="Arial" w:hAnsi="Arial" w:cs="Noto Naskh Arabic"/>
        </w:rPr>
        <w:t xml:space="preserve">2.2 Participants</w:t>
      </w:r>
    </w:p>
    <w:p>
      <w:pPr>
        <w:jc w:val="left"/>
        <w:spacing w:after="110" w:line="330" w:lineRule="auto"/>
      </w:pPr>
      <w:r>
        <w:rPr>
          <w:sz w:val="22"/>
          <w:szCs w:val="22"/>
          <w:rFonts w:ascii="Arial" w:hAnsi="Arial" w:cs="Noto Naskh Arabic"/>
        </w:rPr>
        <w:t xml:space="preserve">Adults aged 18–65 years were eligible if they met ICHD-3 criteria for migraine with or without aura and had at least two migraine attacks monthly during a prospective [28-day] baseline diary period [2]. Authors must specify:</w:t>
      </w:r>
    </w:p>
    <w:p>
      <w:pPr>
        <w:jc w:val="left"/>
        <w:spacing w:after="110" w:line="330" w:lineRule="auto"/>
      </w:pPr>
      <w:r>
        <w:rPr>
          <w:sz w:val="22"/>
          <w:szCs w:val="22"/>
          <w:rFonts w:ascii="Arial" w:hAnsi="Arial" w:cs="Noto Naskh Arabic"/>
        </w:rPr>
        <w:t xml:space="preserve">• the required number of migraine and headache days;</w:t>
      </w:r>
    </w:p>
    <w:p>
      <w:pPr>
        <w:jc w:val="left"/>
        <w:spacing w:after="110" w:line="330" w:lineRule="auto"/>
      </w:pPr>
      <w:r>
        <w:rPr>
          <w:sz w:val="22"/>
          <w:szCs w:val="22"/>
          <w:rFonts w:ascii="Arial" w:hAnsi="Arial" w:cs="Noto Naskh Arabic"/>
        </w:rPr>
        <w:t xml:space="preserve">• episodic or chronic migraine status;</w:t>
      </w:r>
    </w:p>
    <w:p>
      <w:pPr>
        <w:jc w:val="left"/>
        <w:spacing w:after="110" w:line="330" w:lineRule="auto"/>
      </w:pPr>
      <w:r>
        <w:rPr>
          <w:sz w:val="22"/>
          <w:szCs w:val="22"/>
          <w:rFonts w:ascii="Arial" w:hAnsi="Arial" w:cs="Noto Naskh Arabic"/>
        </w:rPr>
        <w:t xml:space="preserve">• the algorithm distinguishing a new attack from recurrence;</w:t>
      </w:r>
    </w:p>
    <w:p>
      <w:pPr>
        <w:jc w:val="left"/>
        <w:spacing w:after="110" w:line="330" w:lineRule="auto"/>
      </w:pPr>
      <w:r>
        <w:rPr>
          <w:sz w:val="22"/>
          <w:szCs w:val="22"/>
          <w:rFonts w:ascii="Arial" w:hAnsi="Arial" w:cs="Noto Naskh Arabic"/>
        </w:rPr>
        <w:t xml:space="preserve">• whether a pain-free interval of 24 or 48 hours was used and why;</w:t>
      </w:r>
    </w:p>
    <w:p>
      <w:pPr>
        <w:jc w:val="left"/>
        <w:spacing w:after="110" w:line="330" w:lineRule="auto"/>
      </w:pPr>
      <w:r>
        <w:rPr>
          <w:sz w:val="22"/>
          <w:szCs w:val="22"/>
          <w:rFonts w:ascii="Arial" w:hAnsi="Arial" w:cs="Noto Naskh Arabic"/>
        </w:rPr>
        <w:t xml:space="preserve">• minimum diary completion;</w:t>
      </w:r>
    </w:p>
    <w:p>
      <w:pPr>
        <w:jc w:val="left"/>
        <w:spacing w:after="110" w:line="330" w:lineRule="auto"/>
      </w:pPr>
      <w:r>
        <w:rPr>
          <w:sz w:val="22"/>
          <w:szCs w:val="22"/>
          <w:rFonts w:ascii="Arial" w:hAnsi="Arial" w:cs="Noto Naskh Arabic"/>
        </w:rPr>
        <w:t xml:space="preserve">• permitted acute medications and their effect on classification.</w:t>
      </w:r>
    </w:p>
    <w:p>
      <w:pPr>
        <w:jc w:val="left"/>
        <w:spacing w:after="110" w:line="330" w:lineRule="auto"/>
      </w:pPr>
      <w:r>
        <w:rPr>
          <w:sz w:val="22"/>
          <w:szCs w:val="22"/>
          <w:rFonts w:ascii="Arial" w:hAnsi="Arial" w:cs="Noto Naskh Arabic"/>
        </w:rPr>
        <w:t xml:space="preserve">Exclusion criteria were medication-overuse headache; another active headache disorder; pregnancy or lactation; [device-specific contraindications]; severe psychiatric or systemic illness; substance use disorder; specified preventive procedures within [class-specific washout periods]; and current preventive medication unless a stable regimen was explicitly permitted by the protocol.</w:t>
      </w:r>
    </w:p>
    <w:p>
      <w:pPr>
        <w:jc w:val="left"/>
        <w:spacing w:after="110" w:line="330" w:lineRule="auto"/>
      </w:pPr>
      <w:r>
        <w:rPr>
          <w:sz w:val="22"/>
          <w:szCs w:val="22"/>
          <w:rFonts w:ascii="Arial" w:hAnsi="Arial" w:cs="Noto Naskh Arabic"/>
        </w:rPr>
        <w:t xml:space="preserve">“Treatment non-compliance” must not be listed as a pre-randomization exclusion unless it was operationalized prospectively. Post-randomization nonadherence should be retained in the intention-to-treat population.</w:t>
      </w:r>
    </w:p>
    <w:p>
      <w:pPr>
        <w:pStyle w:val="Heading3"/>
        <w:jc w:val="left"/>
        <w:spacing w:after="110" w:line="330" w:lineRule="auto"/>
        <w:keepNext/>
      </w:pPr>
      <w:r>
        <w:rPr>
          <w:b/>
          <w:sz w:val="20"/>
          <w:szCs w:val="20"/>
          <w:rFonts w:ascii="Arial" w:hAnsi="Arial" w:cs="Noto Naskh Arabic"/>
        </w:rPr>
        <w:t xml:space="preserve">2.3 Recruitment and applicability</w:t>
      </w:r>
    </w:p>
    <w:p>
      <w:pPr>
        <w:jc w:val="left"/>
        <w:spacing w:after="110" w:line="330" w:lineRule="auto"/>
      </w:pPr>
      <w:r>
        <w:rPr>
          <w:sz w:val="22"/>
          <w:szCs w:val="22"/>
          <w:rFonts w:ascii="Arial" w:hAnsi="Arial" w:cs="Noto Naskh Arabic"/>
        </w:rPr>
        <w:t xml:space="preserve">Of 137 screened individuals, 54 did not proceed to randomization because they were unable or unwilling to commit to 24 clinic visits over four weeks. Eighty-three participants entered the allocation process. The high pre-randomization exclusion fraction restricts applicability to patients who can attend this intensive schedule. Because the 54 individuals were not randomized and had no study outcomes, no outcomes were imputed for them.</w:t>
      </w:r>
    </w:p>
    <w:p>
      <w:pPr>
        <w:jc w:val="left"/>
        <w:spacing w:after="110" w:line="330" w:lineRule="auto"/>
      </w:pPr>
      <w:r>
        <w:rPr>
          <w:sz w:val="22"/>
          <w:szCs w:val="22"/>
          <w:rFonts w:ascii="Arial" w:hAnsi="Arial" w:cs="Noto Naskh Arabic"/>
        </w:rPr>
        <w:t xml:space="preserve">Report available age, sex, migraine subtype, baseline frequency, and reasons for nonparticipation for screened nonrandomized individuals when permitted by ethics approval.</w:t>
      </w:r>
    </w:p>
    <w:p>
      <w:pPr>
        <w:pStyle w:val="Heading3"/>
        <w:jc w:val="left"/>
        <w:spacing w:after="110" w:line="330" w:lineRule="auto"/>
        <w:keepNext/>
      </w:pPr>
      <w:r>
        <w:rPr>
          <w:b/>
          <w:sz w:val="20"/>
          <w:szCs w:val="20"/>
          <w:rFonts w:ascii="Arial" w:hAnsi="Arial" w:cs="Noto Naskh Arabic"/>
        </w:rPr>
        <w:t xml:space="preserve">2.4 Randomization and allocation concealment</w:t>
      </w:r>
    </w:p>
    <w:p>
      <w:pPr>
        <w:jc w:val="left"/>
        <w:spacing w:after="110" w:line="330" w:lineRule="auto"/>
      </w:pPr>
      <w:r>
        <w:rPr>
          <w:sz w:val="22"/>
          <w:szCs w:val="22"/>
          <w:rFonts w:ascii="Arial" w:hAnsi="Arial" w:cs="Noto Naskh Arabic"/>
        </w:rPr>
        <w:t xml:space="preserve">Replace this section using the original allocation records:</w:t>
      </w:r>
    </w:p>
    <w:p>
      <w:pPr>
        <w:bidi/>
        <w:jc w:val="right"/>
        <w:spacing w:after="110" w:line="330" w:lineRule="auto"/>
      </w:pPr>
      <w:r>
        <w:rPr>
          <w:sz w:val="21"/>
          <w:szCs w:val="21"/>
          <w:rFonts w:ascii="Arial" w:hAnsi="Arial" w:cs="Noto Naskh Arabic"/>
        </w:rPr>
        <w:t xml:space="preserve">نکته: An independent [role] generated the allocation sequence using [software/version and exact algorithm] with a 1:1:1 ratio and [actual block sizes/stratification factors]. [Role], who had no contact with participants, prepared sequentially numbered, opaque, tamper-evident, sealed envelopes. After eligibility and consent were completed, [role] opened the next envelope in sequence. Treatment providers could not be masked because they operated the device.</w:t>
      </w:r>
    </w:p>
    <w:p>
      <w:pPr>
        <w:jc w:val="left"/>
        <w:spacing w:after="110" w:line="330" w:lineRule="auto"/>
      </w:pPr>
      <w:r>
        <w:rPr>
          <w:sz w:val="22"/>
          <w:szCs w:val="22"/>
          <w:rFonts w:ascii="Arial" w:hAnsi="Arial" w:cs="Noto Naskh Arabic"/>
        </w:rPr>
        <w:t xml:space="preserve">A fixed block size of four cannot by itself produce balanced 1:1:1 permuted blocks. Do not retain that statement unless the exact unequal-block rotation algorithm and its implementation can be documented.</w:t>
      </w:r>
    </w:p>
    <w:p>
      <w:pPr>
        <w:pStyle w:val="Heading3"/>
        <w:jc w:val="left"/>
        <w:spacing w:after="110" w:line="330" w:lineRule="auto"/>
        <w:keepNext/>
      </w:pPr>
      <w:r>
        <w:rPr>
          <w:b/>
          <w:sz w:val="20"/>
          <w:szCs w:val="20"/>
          <w:rFonts w:ascii="Arial" w:hAnsi="Arial" w:cs="Noto Naskh Arabic"/>
        </w:rPr>
        <w:t xml:space="preserve">2.5 Masking</w:t>
      </w:r>
    </w:p>
    <w:p>
      <w:pPr>
        <w:jc w:val="left"/>
        <w:spacing w:after="110" w:line="330" w:lineRule="auto"/>
      </w:pPr>
      <w:r>
        <w:rPr>
          <w:sz w:val="22"/>
          <w:szCs w:val="22"/>
          <w:rFonts w:ascii="Arial" w:hAnsi="Arial" w:cs="Noto Naskh Arabic"/>
        </w:rPr>
        <w:t xml:space="preserve">Participants were intended to be unaware of treatment allocation. However, active stimulation was titrated to a strong sensory level, whereas sham stimulation delivered no current. Successful participant masking therefore cannot be assumed. Outcome assessment and statistical analysis were conducted by an investigator unaware of allocation [describe safeguards].</w:t>
      </w:r>
    </w:p>
    <w:p>
      <w:pPr>
        <w:jc w:val="left"/>
        <w:spacing w:after="110" w:line="330" w:lineRule="auto"/>
      </w:pPr>
      <w:r>
        <w:rPr>
          <w:sz w:val="22"/>
          <w:szCs w:val="22"/>
          <w:rFonts w:ascii="Arial" w:hAnsi="Arial" w:cs="Noto Naskh Arabic"/>
        </w:rPr>
        <w:t xml:space="preserve">Report the masking assessment as a full cross-tabulation of assigned group by guessed group, including “do not know,” the timing of assessment, and reasons for each guess. Analyze it with an appropriate blinding index and confidence interval. Do not infer successful masking from a nonsignificant difference in correct-guess proportions.</w:t>
      </w:r>
    </w:p>
    <w:p>
      <w:pPr>
        <w:pStyle w:val="Heading3"/>
        <w:jc w:val="left"/>
        <w:spacing w:after="110" w:line="330" w:lineRule="auto"/>
        <w:keepNext/>
      </w:pPr>
      <w:r>
        <w:rPr>
          <w:b/>
          <w:sz w:val="20"/>
          <w:szCs w:val="20"/>
          <w:rFonts w:ascii="Arial" w:hAnsi="Arial" w:cs="Noto Naskh Arabic"/>
        </w:rPr>
        <w:t xml:space="preserve">2.6 Interventions</w:t>
      </w:r>
    </w:p>
    <w:p>
      <w:pPr>
        <w:jc w:val="left"/>
        <w:spacing w:after="110" w:line="330" w:lineRule="auto"/>
      </w:pPr>
      <w:r>
        <w:rPr>
          <w:sz w:val="22"/>
          <w:szCs w:val="22"/>
          <w:rFonts w:ascii="Arial" w:hAnsi="Arial" w:cs="Noto Naskh Arabic"/>
        </w:rPr>
        <w:t xml:space="preserve">All intervention details below require confirmation from treatment logs and device documentation.</w:t>
      </w:r>
    </w:p>
    <w:p>
      <w:pPr>
        <w:pStyle w:val="Heading3"/>
        <w:jc w:val="left"/>
        <w:spacing w:after="110" w:line="330" w:lineRule="auto"/>
        <w:keepNext/>
      </w:pPr>
      <w:r>
        <w:rPr>
          <w:b/>
          <w:sz w:val="20"/>
          <w:szCs w:val="20"/>
          <w:rFonts w:ascii="Arial" w:hAnsi="Arial" w:cs="Noto Naskh Arabic"/>
        </w:rPr>
        <w:t xml:space="preserve">Supraorbital TENS</w:t>
      </w:r>
    </w:p>
    <w:p>
      <w:pPr>
        <w:jc w:val="left"/>
        <w:spacing w:after="110" w:line="330" w:lineRule="auto"/>
      </w:pPr>
      <w:r>
        <w:rPr>
          <w:sz w:val="22"/>
          <w:szCs w:val="22"/>
          <w:rFonts w:ascii="Arial" w:hAnsi="Arial" w:cs="Noto Naskh Arabic"/>
        </w:rPr>
        <w:t xml:space="preserve">Bilateral stimulation was administered over the supraorbital foramina/notches with [device manufacturer, exact model, regulatory status]. Sessions lasted 30 min and occurred six times weekly for four weeks (24 planned sessions). Frequency was 100 Hz and pulse duration was 200 μs. Current was individually increased to a strong but tolerable sensation; the actual delivered intensity had a median of [value] mA (IQR [value]) and range [value].</w:t>
      </w:r>
    </w:p>
    <w:p>
      <w:pPr>
        <w:pStyle w:val="Heading3"/>
        <w:jc w:val="left"/>
        <w:spacing w:after="110" w:line="330" w:lineRule="auto"/>
        <w:keepNext/>
      </w:pPr>
      <w:r>
        <w:rPr>
          <w:b/>
          <w:sz w:val="20"/>
          <w:szCs w:val="20"/>
          <w:rFonts w:ascii="Arial" w:hAnsi="Arial" w:cs="Noto Naskh Arabic"/>
        </w:rPr>
        <w:t xml:space="preserve">Infraorbital TENS</w:t>
      </w:r>
    </w:p>
    <w:p>
      <w:pPr>
        <w:jc w:val="left"/>
        <w:spacing w:after="110" w:line="330" w:lineRule="auto"/>
      </w:pPr>
      <w:r>
        <w:rPr>
          <w:sz w:val="22"/>
          <w:szCs w:val="22"/>
          <w:rFonts w:ascii="Arial" w:hAnsi="Arial" w:cs="Noto Naskh Arabic"/>
        </w:rPr>
        <w:t xml:space="preserve">The same device, schedule, and nominal electrical parameters were used, with electrodes centered over the infraorbital foramina. Authors must describe precautions used for facial and ocular proximity.</w:t>
      </w:r>
    </w:p>
    <w:p>
      <w:pPr>
        <w:pStyle w:val="Heading3"/>
        <w:jc w:val="left"/>
        <w:spacing w:after="110" w:line="330" w:lineRule="auto"/>
        <w:keepNext/>
      </w:pPr>
      <w:r>
        <w:rPr>
          <w:b/>
          <w:sz w:val="20"/>
          <w:szCs w:val="20"/>
          <w:rFonts w:ascii="Arial" w:hAnsi="Arial" w:cs="Noto Naskh Arabic"/>
        </w:rPr>
        <w:t xml:space="preserve">Sham stimulation</w:t>
      </w:r>
    </w:p>
    <w:p>
      <w:pPr>
        <w:jc w:val="left"/>
        <w:spacing w:after="110" w:line="330" w:lineRule="auto"/>
      </w:pPr>
      <w:r>
        <w:rPr>
          <w:sz w:val="22"/>
          <w:szCs w:val="22"/>
          <w:rFonts w:ascii="Arial" w:hAnsi="Arial" w:cs="Noto Naskh Arabic"/>
        </w:rPr>
        <w:t xml:space="preserve">Electrodes were placed over the supraorbital region using the same visible session procedure, but no current was delivered. This inert sham did not reproduce treatment sensation and did not site-match the infraorbital intervention.</w:t>
      </w:r>
    </w:p>
    <w:p>
      <w:pPr>
        <w:jc w:val="left"/>
        <w:spacing w:after="110" w:line="330" w:lineRule="auto"/>
      </w:pPr>
      <w:r>
        <w:rPr>
          <w:sz w:val="22"/>
          <w:szCs w:val="22"/>
          <w:rFonts w:ascii="Arial" w:hAnsi="Arial" w:cs="Noto Naskh Arabic"/>
        </w:rPr>
        <w:t xml:space="preserve">For all groups, report:</w:t>
      </w:r>
    </w:p>
    <w:p>
      <w:pPr>
        <w:jc w:val="left"/>
        <w:spacing w:after="110" w:line="330" w:lineRule="auto"/>
      </w:pPr>
      <w:r>
        <w:rPr>
          <w:sz w:val="22"/>
          <w:szCs w:val="22"/>
          <w:rFonts w:ascii="Arial" w:hAnsi="Arial" w:cs="Noto Naskh Arabic"/>
        </w:rPr>
        <w:t xml:space="preserve">• waveform and polarity;</w:t>
      </w:r>
    </w:p>
    <w:p>
      <w:pPr>
        <w:jc w:val="left"/>
        <w:spacing w:after="110" w:line="330" w:lineRule="auto"/>
      </w:pPr>
      <w:r>
        <w:rPr>
          <w:sz w:val="22"/>
          <w:szCs w:val="22"/>
          <w:rFonts w:ascii="Arial" w:hAnsi="Arial" w:cs="Noto Naskh Arabic"/>
        </w:rPr>
        <w:t xml:space="preserve">• electrode dimensions, material, spacing, and montage;</w:t>
      </w:r>
    </w:p>
    <w:p>
      <w:pPr>
        <w:jc w:val="left"/>
        <w:spacing w:after="110" w:line="330" w:lineRule="auto"/>
      </w:pPr>
      <w:r>
        <w:rPr>
          <w:sz w:val="22"/>
          <w:szCs w:val="22"/>
          <w:rFonts w:ascii="Arial" w:hAnsi="Arial" w:cs="Noto Naskh Arabic"/>
        </w:rPr>
        <w:t xml:space="preserve">• anatomical localization method;</w:t>
      </w:r>
    </w:p>
    <w:p>
      <w:pPr>
        <w:jc w:val="left"/>
        <w:spacing w:after="110" w:line="330" w:lineRule="auto"/>
      </w:pPr>
      <w:r>
        <w:rPr>
          <w:sz w:val="22"/>
          <w:szCs w:val="22"/>
          <w:rFonts w:ascii="Arial" w:hAnsi="Arial" w:cs="Noto Naskh Arabic"/>
        </w:rPr>
        <w:t xml:space="preserve">• skin preparation and impedance threshold;</w:t>
      </w:r>
    </w:p>
    <w:p>
      <w:pPr>
        <w:jc w:val="left"/>
        <w:spacing w:after="110" w:line="330" w:lineRule="auto"/>
      </w:pPr>
      <w:r>
        <w:rPr>
          <w:sz w:val="22"/>
          <w:szCs w:val="22"/>
          <w:rFonts w:ascii="Arial" w:hAnsi="Arial" w:cs="Noto Naskh Arabic"/>
        </w:rPr>
        <w:t xml:space="preserve">• ramp-up/ramp-down;</w:t>
      </w:r>
    </w:p>
    <w:p>
      <w:pPr>
        <w:jc w:val="left"/>
        <w:spacing w:after="110" w:line="330" w:lineRule="auto"/>
      </w:pPr>
      <w:r>
        <w:rPr>
          <w:sz w:val="22"/>
          <w:szCs w:val="22"/>
          <w:rFonts w:ascii="Arial" w:hAnsi="Arial" w:cs="Noto Naskh Arabic"/>
        </w:rPr>
        <w:t xml:space="preserve">• calibration and output verification;</w:t>
      </w:r>
    </w:p>
    <w:p>
      <w:pPr>
        <w:jc w:val="left"/>
        <w:spacing w:after="110" w:line="330" w:lineRule="auto"/>
      </w:pPr>
      <w:r>
        <w:rPr>
          <w:sz w:val="22"/>
          <w:szCs w:val="22"/>
          <w:rFonts w:ascii="Arial" w:hAnsi="Arial" w:cs="Noto Naskh Arabic"/>
        </w:rPr>
        <w:t xml:space="preserve">• provider training;</w:t>
      </w:r>
    </w:p>
    <w:p>
      <w:pPr>
        <w:jc w:val="left"/>
        <w:spacing w:after="110" w:line="330" w:lineRule="auto"/>
      </w:pPr>
      <w:r>
        <w:rPr>
          <w:sz w:val="22"/>
          <w:szCs w:val="22"/>
          <w:rFonts w:ascii="Arial" w:hAnsi="Arial" w:cs="Noto Naskh Arabic"/>
        </w:rPr>
        <w:t xml:space="preserve">• protocol-fidelity checks;</w:t>
      </w:r>
    </w:p>
    <w:p>
      <w:pPr>
        <w:jc w:val="left"/>
        <w:spacing w:after="110" w:line="330" w:lineRule="auto"/>
      </w:pPr>
      <w:r>
        <w:rPr>
          <w:sz w:val="22"/>
          <w:szCs w:val="22"/>
          <w:rFonts w:ascii="Arial" w:hAnsi="Arial" w:cs="Noto Naskh Arabic"/>
        </w:rPr>
        <w:t xml:space="preserve">• deviations and actual attendance per arm.</w:t>
      </w:r>
    </w:p>
    <w:p>
      <w:pPr>
        <w:pStyle w:val="Heading3"/>
        <w:jc w:val="left"/>
        <w:spacing w:after="110" w:line="330" w:lineRule="auto"/>
        <w:keepNext/>
      </w:pPr>
      <w:r>
        <w:rPr>
          <w:b/>
          <w:sz w:val="20"/>
          <w:szCs w:val="20"/>
          <w:rFonts w:ascii="Arial" w:hAnsi="Arial" w:cs="Noto Naskh Arabic"/>
        </w:rPr>
        <w:t xml:space="preserve">2.7 Outcomes</w:t>
      </w:r>
    </w:p>
    <w:p>
      <w:pPr>
        <w:pStyle w:val="Heading3"/>
        <w:jc w:val="left"/>
        <w:spacing w:after="110" w:line="330" w:lineRule="auto"/>
        <w:keepNext/>
      </w:pPr>
      <w:r>
        <w:rPr>
          <w:b/>
          <w:sz w:val="20"/>
          <w:szCs w:val="20"/>
          <w:rFonts w:ascii="Arial" w:hAnsi="Arial" w:cs="Noto Naskh Arabic"/>
        </w:rPr>
        <w:t xml:space="preserve">Primary outcome</w:t>
      </w:r>
    </w:p>
    <w:p>
      <w:pPr>
        <w:jc w:val="left"/>
        <w:spacing w:after="110" w:line="330" w:lineRule="auto"/>
      </w:pPr>
      <w:r>
        <w:rPr>
          <w:sz w:val="22"/>
          <w:szCs w:val="22"/>
          <w:rFonts w:ascii="Arial" w:hAnsi="Arial" w:cs="Noto Naskh Arabic"/>
        </w:rPr>
        <w:t xml:space="preserve">The primary outcome was [verify from original protocol and registry] monthly migraine attack frequency during [exact diary window] at three months. Define the unit, denominator, standardization for incomplete/unequal diary windows, and rules for recurrence.</w:t>
      </w:r>
    </w:p>
    <w:p>
      <w:pPr>
        <w:jc w:val="left"/>
        <w:spacing w:after="110" w:line="330" w:lineRule="auto"/>
      </w:pPr>
      <w:r>
        <w:rPr>
          <w:sz w:val="22"/>
          <w:szCs w:val="22"/>
          <w:rFonts w:ascii="Arial" w:hAnsi="Arial" w:cs="Noto Naskh Arabic"/>
        </w:rPr>
        <w:t xml:space="preserve">If monthly migraine days were collected, they should be reported because current preventive-trial guidance recommends change in monthly migraine days from a prospective 4–8-week diary baseline [52]. Report ≥50% responder rates only if prespecified or clearly label them exploratory.</w:t>
      </w:r>
    </w:p>
    <w:p>
      <w:pPr>
        <w:pStyle w:val="Heading3"/>
        <w:jc w:val="left"/>
        <w:spacing w:after="110" w:line="330" w:lineRule="auto"/>
        <w:keepNext/>
      </w:pPr>
      <w:r>
        <w:rPr>
          <w:b/>
          <w:sz w:val="20"/>
          <w:szCs w:val="20"/>
          <w:rFonts w:ascii="Arial" w:hAnsi="Arial" w:cs="Noto Naskh Arabic"/>
        </w:rPr>
        <w:t xml:space="preserve">Secondary outcomes</w:t>
      </w:r>
    </w:p>
    <w:p>
      <w:pPr>
        <w:jc w:val="left"/>
        <w:spacing w:after="110" w:line="330" w:lineRule="auto"/>
      </w:pPr>
      <w:r>
        <w:rPr>
          <w:sz w:val="22"/>
          <w:szCs w:val="22"/>
          <w:rFonts w:ascii="Arial" w:hAnsi="Arial" w:cs="Noto Naskh Arabic"/>
        </w:rPr>
        <w:t xml:space="preserve">1. Pain intensity measured with [10-cm VAS or 0–10 NRS], anchors [specify], referring to [average/worst/typical pain] over [recall window].</w:t>
      </w:r>
    </w:p>
    <w:p>
      <w:pPr>
        <w:jc w:val="left"/>
        <w:spacing w:after="110" w:line="330" w:lineRule="auto"/>
      </w:pPr>
      <w:r>
        <w:rPr>
          <w:sz w:val="22"/>
          <w:szCs w:val="22"/>
          <w:rFonts w:ascii="Arial" w:hAnsi="Arial" w:cs="Noto Naskh Arabic"/>
        </w:rPr>
        <w:t xml:space="preserve">2. MIDAS total score, using the validated Persian version [51] and its standard three-month recall period. The one-month assessment overlaps the pretreatment period and should not be interpreted as an isolated one-month treatment effect.</w:t>
      </w:r>
    </w:p>
    <w:p>
      <w:pPr>
        <w:jc w:val="left"/>
        <w:spacing w:after="110" w:line="330" w:lineRule="auto"/>
      </w:pPr>
      <w:r>
        <w:rPr>
          <w:sz w:val="22"/>
          <w:szCs w:val="22"/>
          <w:rFonts w:ascii="Arial" w:hAnsi="Arial" w:cs="Noto Naskh Arabic"/>
        </w:rPr>
        <w:t xml:space="preserve">3. HIT-6 total score, using the correctly cited validated Persian version [38].</w:t>
      </w:r>
    </w:p>
    <w:p>
      <w:pPr>
        <w:jc w:val="left"/>
        <w:spacing w:after="110" w:line="330" w:lineRule="auto"/>
      </w:pPr>
      <w:r>
        <w:rPr>
          <w:sz w:val="22"/>
          <w:szCs w:val="22"/>
          <w:rFonts w:ascii="Arial" w:hAnsi="Arial" w:cs="Noto Naskh Arabic"/>
        </w:rPr>
        <w:t xml:space="preserve">4. Number of acute oral analgesic-use occasions during [exact 28-day window], with medication classes and counting rules defined.</w:t>
      </w:r>
    </w:p>
    <w:p>
      <w:pPr>
        <w:jc w:val="left"/>
        <w:spacing w:after="110" w:line="330" w:lineRule="auto"/>
      </w:pPr>
      <w:r>
        <w:rPr>
          <w:sz w:val="22"/>
          <w:szCs w:val="22"/>
          <w:rFonts w:ascii="Arial" w:hAnsi="Arial" w:cs="Noto Naskh Arabic"/>
        </w:rPr>
        <w:t xml:space="preserve">5. MPQ-5 score, reported as exploratory unless a validated Persian version and longitudinal responsiveness can be documented. Provide score range, item scoring, recall period, and interpretation.</w:t>
      </w:r>
    </w:p>
    <w:p>
      <w:pPr>
        <w:jc w:val="left"/>
        <w:spacing w:after="110" w:line="330" w:lineRule="auto"/>
      </w:pPr>
      <w:r>
        <w:rPr>
          <w:sz w:val="22"/>
          <w:szCs w:val="22"/>
          <w:rFonts w:ascii="Arial" w:hAnsi="Arial" w:cs="Noto Naskh Arabic"/>
        </w:rPr>
        <w:t xml:space="preserve">Adverse events should be elicited with a standardized checklist plus open-ended inquiry, and coded by severity, seriousness, expectedness, relatedness, onset, duration, and action taken.</w:t>
      </w:r>
    </w:p>
    <w:p>
      <w:pPr>
        <w:pStyle w:val="Heading3"/>
        <w:jc w:val="left"/>
        <w:spacing w:after="110" w:line="330" w:lineRule="auto"/>
        <w:keepNext/>
      </w:pPr>
      <w:r>
        <w:rPr>
          <w:b/>
          <w:sz w:val="20"/>
          <w:szCs w:val="20"/>
          <w:rFonts w:ascii="Arial" w:hAnsi="Arial" w:cs="Noto Naskh Arabic"/>
        </w:rPr>
        <w:t xml:space="preserve">2.8 Concomitant treatment</w:t>
      </w:r>
    </w:p>
    <w:p>
      <w:pPr>
        <w:jc w:val="left"/>
        <w:spacing w:after="110" w:line="330" w:lineRule="auto"/>
      </w:pPr>
      <w:r>
        <w:rPr>
          <w:sz w:val="22"/>
          <w:szCs w:val="22"/>
          <w:rFonts w:ascii="Arial" w:hAnsi="Arial" w:cs="Noto Naskh Arabic"/>
        </w:rPr>
        <w:t xml:space="preserve">Define whether preventive medications were prohibited, continued at a stable dose, or allowed as rescue. List class-specific washout periods. A universal two-week washout is not adequate for all long-acting preventive treatments. Acute medication use must be incorporated into the estimand because it may affect pain reporting and is also a secondary outcome.</w:t>
      </w:r>
    </w:p>
    <w:p>
      <w:pPr>
        <w:pStyle w:val="Heading3"/>
        <w:jc w:val="left"/>
        <w:spacing w:after="110" w:line="330" w:lineRule="auto"/>
        <w:keepNext/>
      </w:pPr>
      <w:r>
        <w:rPr>
          <w:b/>
          <w:sz w:val="20"/>
          <w:szCs w:val="20"/>
          <w:rFonts w:ascii="Arial" w:hAnsi="Arial" w:cs="Noto Naskh Arabic"/>
        </w:rPr>
        <w:t xml:space="preserve">2.9 Sample size</w:t>
      </w:r>
    </w:p>
    <w:p>
      <w:pPr>
        <w:jc w:val="left"/>
        <w:spacing w:after="110" w:line="330" w:lineRule="auto"/>
      </w:pPr>
      <w:r>
        <w:rPr>
          <w:sz w:val="22"/>
          <w:szCs w:val="22"/>
          <w:rFonts w:ascii="Arial" w:hAnsi="Arial" w:cs="Noto Naskh Arabic"/>
        </w:rPr>
        <w:t xml:space="preserve">Report the original, dated protocol calculation exactly, including its endpoint, anticipated effect, variance/event rate, alpha, power, number of primary comparisons, test, and attrition allowance.</w:t>
      </w:r>
    </w:p>
    <w:p>
      <w:pPr>
        <w:jc w:val="left"/>
        <w:spacing w:after="110" w:line="330" w:lineRule="auto"/>
      </w:pPr>
      <w:r>
        <w:rPr>
          <w:sz w:val="22"/>
          <w:szCs w:val="22"/>
          <w:rFonts w:ascii="Arial" w:hAnsi="Arial" w:cs="Noto Naskh Arabic"/>
        </w:rPr>
        <w:t xml:space="preserve">If the original calculation was based on responder rate, state that calculation and disclose that the continuous/count outcome analysis differs from the original design. A retrospective calculation based on observed or selected assumptions must not be presented as prospective justification. Remove observed post-hoc power.</w:t>
      </w:r>
    </w:p>
    <w:p>
      <w:pPr>
        <w:jc w:val="left"/>
        <w:spacing w:after="110" w:line="330" w:lineRule="auto"/>
      </w:pPr>
      <w:r>
        <w:rPr>
          <w:sz w:val="22"/>
          <w:szCs w:val="22"/>
          <w:rFonts w:ascii="Arial" w:hAnsi="Arial" w:cs="Noto Naskh Arabic"/>
        </w:rPr>
        <w:t xml:space="preserve">For reference only, a simple two-sample normal approximation with SD 4.5, difference 3, two-sided α=.05, and 80% power requires approximately 36 evaluable participants per group. Allowing 20% attrition requires approximately 45 randomized participants per group after rounding conservatively. This calculation does not account for multiple active–sham comparisons and is not a replacement for the original design.</w:t>
      </w:r>
    </w:p>
    <w:p>
      <w:pPr>
        <w:pStyle w:val="Heading3"/>
        <w:jc w:val="left"/>
        <w:spacing w:after="110" w:line="330" w:lineRule="auto"/>
        <w:keepNext/>
      </w:pPr>
      <w:r>
        <w:rPr>
          <w:b/>
          <w:sz w:val="20"/>
          <w:szCs w:val="20"/>
          <w:rFonts w:ascii="Arial" w:hAnsi="Arial" w:cs="Noto Naskh Arabic"/>
        </w:rPr>
        <w:t xml:space="preserve">2.10 Statistical analysis</w:t>
      </w:r>
    </w:p>
    <w:p>
      <w:pPr>
        <w:jc w:val="left"/>
        <w:spacing w:after="110" w:line="330" w:lineRule="auto"/>
      </w:pPr>
      <w:r>
        <w:rPr>
          <w:sz w:val="22"/>
          <w:szCs w:val="22"/>
          <w:rFonts w:ascii="Arial" w:hAnsi="Arial" w:cs="Noto Naskh Arabic"/>
        </w:rPr>
        <w:t xml:space="preserve">The final analysis must be rerun from participant-level data under a dated analysis plan prepared without reference to treatment-coded results.</w:t>
      </w:r>
    </w:p>
    <w:p>
      <w:pPr>
        <w:jc w:val="left"/>
        <w:spacing w:after="110" w:line="330" w:lineRule="auto"/>
      </w:pPr>
      <w:r>
        <w:rPr>
          <w:sz w:val="22"/>
          <w:szCs w:val="22"/>
          <w:rFonts w:ascii="Arial" w:hAnsi="Arial" w:cs="Noto Naskh Arabic"/>
        </w:rPr>
        <w:t xml:space="preserve">Recommended primary model:</w:t>
      </w:r>
    </w:p>
    <w:p>
      <w:pPr>
        <w:jc w:val="left"/>
        <w:spacing w:after="110" w:line="330" w:lineRule="auto"/>
      </w:pPr>
      <w:r>
        <w:rPr>
          <w:sz w:val="22"/>
          <w:szCs w:val="22"/>
          <w:rFonts w:ascii="Arial" w:hAnsi="Arial" w:cs="Noto Naskh Arabic"/>
        </w:rPr>
        <w:t xml:space="preserve">• baseline-adjusted negative-binomial regression for monthly attack count, with log observation time as an offset when diary windows differ;</w:t>
      </w:r>
    </w:p>
    <w:p>
      <w:pPr>
        <w:jc w:val="left"/>
        <w:spacing w:after="110" w:line="330" w:lineRule="auto"/>
      </w:pPr>
      <w:r>
        <w:rPr>
          <w:sz w:val="22"/>
          <w:szCs w:val="22"/>
          <w:rFonts w:ascii="Arial" w:hAnsi="Arial" w:cs="Noto Naskh Arabic"/>
        </w:rPr>
        <w:t xml:space="preserve">• fixed effects for treatment and baseline attack frequency;</w:t>
      </w:r>
    </w:p>
    <w:p>
      <w:pPr>
        <w:jc w:val="left"/>
        <w:spacing w:after="110" w:line="330" w:lineRule="auto"/>
      </w:pPr>
      <w:r>
        <w:rPr>
          <w:sz w:val="22"/>
          <w:szCs w:val="22"/>
          <w:rFonts w:ascii="Arial" w:hAnsi="Arial" w:cs="Noto Naskh Arabic"/>
        </w:rPr>
        <w:t xml:space="preserve">• two prespecified active-versus-sham contrasts;</w:t>
      </w:r>
    </w:p>
    <w:p>
      <w:pPr>
        <w:jc w:val="left"/>
        <w:spacing w:after="110" w:line="330" w:lineRule="auto"/>
      </w:pPr>
      <w:r>
        <w:rPr>
          <w:sz w:val="22"/>
          <w:szCs w:val="22"/>
          <w:rFonts w:ascii="Arial" w:hAnsi="Arial" w:cs="Noto Naskh Arabic"/>
        </w:rPr>
        <w:t xml:space="preserve">• Holm or Dunnett control of the primary family-wise error rate;</w:t>
      </w:r>
    </w:p>
    <w:p>
      <w:pPr>
        <w:jc w:val="left"/>
        <w:spacing w:after="110" w:line="330" w:lineRule="auto"/>
      </w:pPr>
      <w:r>
        <w:rPr>
          <w:sz w:val="22"/>
          <w:szCs w:val="22"/>
          <w:rFonts w:ascii="Arial" w:hAnsi="Arial" w:cs="Noto Naskh Arabic"/>
        </w:rPr>
        <w:t xml:space="preserve">• adjusted rate ratios and adjusted absolute marginal mean differences with 95% CIs.</w:t>
      </w:r>
    </w:p>
    <w:p>
      <w:pPr>
        <w:jc w:val="left"/>
        <w:spacing w:after="110" w:line="330" w:lineRule="auto"/>
      </w:pPr>
      <w:r>
        <w:rPr>
          <w:sz w:val="22"/>
          <w:szCs w:val="22"/>
          <w:rFonts w:ascii="Arial" w:hAnsi="Arial" w:cs="Noto Naskh Arabic"/>
        </w:rPr>
        <w:t xml:space="preserve">If model fit is inadequate, use a justified alternative and provide diagnostics. A baseline-adjusted ANCOVA with robust standard errors may be a sensitivity analysis if the outcome behaves approximately continuously.</w:t>
      </w:r>
    </w:p>
    <w:p>
      <w:pPr>
        <w:jc w:val="left"/>
        <w:spacing w:after="110" w:line="330" w:lineRule="auto"/>
      </w:pPr>
      <w:r>
        <w:rPr>
          <w:sz w:val="22"/>
          <w:szCs w:val="22"/>
          <w:rFonts w:ascii="Arial" w:hAnsi="Arial" w:cs="Noto Naskh Arabic"/>
        </w:rPr>
        <w:t xml:space="preserve">Recommended secondary analysis:</w:t>
      </w:r>
    </w:p>
    <w:p>
      <w:pPr>
        <w:jc w:val="left"/>
        <w:spacing w:after="110" w:line="330" w:lineRule="auto"/>
      </w:pPr>
      <w:r>
        <w:rPr>
          <w:sz w:val="22"/>
          <w:szCs w:val="22"/>
          <w:rFonts w:ascii="Arial" w:hAnsi="Arial" w:cs="Noto Naskh Arabic"/>
        </w:rPr>
        <w:t xml:space="preserve">• baseline-adjusted ANCOVA or suitable generalized models at three months;</w:t>
      </w:r>
    </w:p>
    <w:p>
      <w:pPr>
        <w:jc w:val="left"/>
        <w:spacing w:after="110" w:line="330" w:lineRule="auto"/>
      </w:pPr>
      <w:r>
        <w:rPr>
          <w:sz w:val="22"/>
          <w:szCs w:val="22"/>
          <w:rFonts w:ascii="Arial" w:hAnsi="Arial" w:cs="Noto Naskh Arabic"/>
        </w:rPr>
        <w:t xml:space="preserve">• a longitudinal mixed model/GEE with group, time, and group×time interaction as supportive analysis;</w:t>
      </w:r>
    </w:p>
    <w:p>
      <w:pPr>
        <w:jc w:val="left"/>
        <w:spacing w:after="110" w:line="330" w:lineRule="auto"/>
      </w:pPr>
      <w:r>
        <w:rPr>
          <w:sz w:val="22"/>
          <w:szCs w:val="22"/>
          <w:rFonts w:ascii="Arial" w:hAnsi="Arial" w:cs="Noto Naskh Arabic"/>
        </w:rPr>
        <w:t xml:space="preserve">• multiplicity control across the prespecified secondary family;</w:t>
      </w:r>
    </w:p>
    <w:p>
      <w:pPr>
        <w:jc w:val="left"/>
        <w:spacing w:after="110" w:line="330" w:lineRule="auto"/>
      </w:pPr>
      <w:r>
        <w:rPr>
          <w:sz w:val="22"/>
          <w:szCs w:val="22"/>
          <w:rFonts w:ascii="Arial" w:hAnsi="Arial" w:cs="Noto Naskh Arabic"/>
        </w:rPr>
        <w:t xml:space="preserve">• exact analysis population, missing-data strategy, and intercurrent-event strategy.</w:t>
      </w:r>
    </w:p>
    <w:p>
      <w:pPr>
        <w:jc w:val="left"/>
        <w:spacing w:after="110" w:line="330" w:lineRule="auto"/>
      </w:pPr>
      <w:r>
        <w:rPr>
          <w:sz w:val="22"/>
          <w:szCs w:val="22"/>
          <w:rFonts w:ascii="Arial" w:hAnsi="Arial" w:cs="Noto Naskh Arabic"/>
        </w:rPr>
        <w:t xml:space="preserve">The active-site contrast is exploratory and must not be interpreted as equivalence. Report medians and IQRs if rank-based analyses are retained, and use effect estimates compatible with those tests.</w:t>
      </w:r>
    </w:p>
    <w:p>
      <w:pPr>
        <w:jc w:val="left"/>
        <w:spacing w:after="110" w:line="330" w:lineRule="auto"/>
      </w:pPr>
      <w:r>
        <w:rPr>
          <w:sz w:val="22"/>
          <w:szCs w:val="22"/>
          <w:rFonts w:ascii="Arial" w:hAnsi="Arial" w:cs="Noto Naskh Arabic"/>
        </w:rPr>
        <w:t xml:space="preserve">Analyses that add nonrandomized screened individuals to sham are prohibited because they destroy the randomized comparison and do not identify transportability.</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3. Results</w:t>
      </w:r>
    </w:p>
    <w:p>
      <w:pPr>
        <w:pStyle w:val="Heading3"/>
        <w:jc w:val="left"/>
        <w:spacing w:after="110" w:line="330" w:lineRule="auto"/>
        <w:keepNext/>
      </w:pPr>
      <w:r>
        <w:rPr>
          <w:b/>
          <w:sz w:val="20"/>
          <w:szCs w:val="20"/>
          <w:rFonts w:ascii="Arial" w:hAnsi="Arial" w:cs="Noto Naskh Arabic"/>
        </w:rPr>
        <w:t xml:space="preserve">3.1 Participant flow</w:t>
      </w:r>
    </w:p>
    <w:p>
      <w:pPr>
        <w:jc w:val="left"/>
        <w:spacing w:after="110" w:line="330" w:lineRule="auto"/>
      </w:pPr>
      <w:r>
        <w:rPr>
          <w:sz w:val="22"/>
          <w:szCs w:val="22"/>
          <w:rFonts w:ascii="Arial" w:hAnsi="Arial" w:cs="Noto Naskh Arabic"/>
        </w:rPr>
        <w:t xml:space="preserve">Report exact dates and include a readable CONSORT diagram:</w:t>
      </w:r>
    </w:p>
    <w:p>
      <w:pPr>
        <w:jc w:val="left"/>
        <w:spacing w:after="110" w:line="330" w:lineRule="auto"/>
      </w:pPr>
      <w:r>
        <w:rPr>
          <w:sz w:val="22"/>
          <w:szCs w:val="22"/>
          <w:rFonts w:ascii="Arial" w:hAnsi="Arial" w:cs="Noto Naskh Arabic"/>
        </w:rPr>
        <w:t xml:space="preserve">• assessed for eligibility: 137;</w:t>
      </w:r>
    </w:p>
    <w:p>
      <w:pPr>
        <w:jc w:val="left"/>
        <w:spacing w:after="110" w:line="330" w:lineRule="auto"/>
      </w:pPr>
      <w:r>
        <w:rPr>
          <w:sz w:val="22"/>
          <w:szCs w:val="22"/>
          <w:rFonts w:ascii="Arial" w:hAnsi="Arial" w:cs="Noto Naskh Arabic"/>
        </w:rPr>
        <w:t xml:space="preserve">• excluded before allocation: 54, with mutually exclusive reasons;</w:t>
      </w:r>
    </w:p>
    <w:p>
      <w:pPr>
        <w:jc w:val="left"/>
        <w:spacing w:after="110" w:line="330" w:lineRule="auto"/>
      </w:pPr>
      <w:r>
        <w:rPr>
          <w:sz w:val="22"/>
          <w:szCs w:val="22"/>
          <w:rFonts w:ascii="Arial" w:hAnsi="Arial" w:cs="Noto Naskh Arabic"/>
        </w:rPr>
        <w:t xml:space="preserve">• entered allocation: 83;</w:t>
      </w:r>
    </w:p>
    <w:p>
      <w:pPr>
        <w:jc w:val="left"/>
        <w:spacing w:after="110" w:line="330" w:lineRule="auto"/>
      </w:pPr>
      <w:r>
        <w:rPr>
          <w:sz w:val="22"/>
          <w:szCs w:val="22"/>
          <w:rFonts w:ascii="Arial" w:hAnsi="Arial" w:cs="Noto Naskh Arabic"/>
        </w:rPr>
        <w:t xml:space="preserve">• received allocated intervention: [verify per arm];</w:t>
      </w:r>
    </w:p>
    <w:p>
      <w:pPr>
        <w:jc w:val="left"/>
        <w:spacing w:after="110" w:line="330" w:lineRule="auto"/>
      </w:pPr>
      <w:r>
        <w:rPr>
          <w:sz w:val="22"/>
          <w:szCs w:val="22"/>
          <w:rFonts w:ascii="Arial" w:hAnsi="Arial" w:cs="Noto Naskh Arabic"/>
        </w:rPr>
        <w:t xml:space="preserve">• completed each time point: [verify per arm];</w:t>
      </w:r>
    </w:p>
    <w:p>
      <w:pPr>
        <w:jc w:val="left"/>
        <w:spacing w:after="110" w:line="330" w:lineRule="auto"/>
      </w:pPr>
      <w:r>
        <w:rPr>
          <w:sz w:val="22"/>
          <w:szCs w:val="22"/>
          <w:rFonts w:ascii="Arial" w:hAnsi="Arial" w:cs="Noto Naskh Arabic"/>
        </w:rPr>
        <w:t xml:space="preserve">• included in each analysis: [verify per arm].</w:t>
      </w:r>
    </w:p>
    <w:p>
      <w:pPr>
        <w:jc w:val="left"/>
        <w:spacing w:after="110" w:line="330" w:lineRule="auto"/>
      </w:pPr>
      <w:r>
        <w:rPr>
          <w:sz w:val="22"/>
          <w:szCs w:val="22"/>
          <w:rFonts w:ascii="Arial" w:hAnsi="Arial" w:cs="Noto Naskh Arabic"/>
        </w:rPr>
        <w:t xml:space="preserve">The manuscript reports no post-allocation loss to follow-up. Support this unusual result with attendance and diary-completion logs rather than attributing it to tolerability.</w:t>
      </w:r>
    </w:p>
    <w:p>
      <w:pPr>
        <w:pStyle w:val="Heading3"/>
        <w:jc w:val="left"/>
        <w:spacing w:after="110" w:line="330" w:lineRule="auto"/>
        <w:keepNext/>
      </w:pPr>
      <w:r>
        <w:rPr>
          <w:b/>
          <w:sz w:val="20"/>
          <w:szCs w:val="20"/>
          <w:rFonts w:ascii="Arial" w:hAnsi="Arial" w:cs="Noto Naskh Arabic"/>
        </w:rPr>
        <w:t xml:space="preserve">3.2 Baseline characteristics</w:t>
      </w:r>
    </w:p>
    <w:p>
      <w:pPr>
        <w:jc w:val="left"/>
        <w:spacing w:after="110" w:line="330" w:lineRule="auto"/>
      </w:pPr>
      <w:r>
        <w:rPr>
          <w:sz w:val="22"/>
          <w:szCs w:val="22"/>
          <w:rFonts w:ascii="Arial" w:hAnsi="Arial" w:cs="Noto Naskh Arabic"/>
        </w:rPr>
        <w:t xml:space="preserve">Do not test baseline “homogeneity.” Present descriptive clinical characteristics by allocated group:</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Characteristic</w:t>
            </w:r>
          </w:p>
        </w:tc>
        <w:tc>
          <w:tcPr>
            <w:shd w:fill="E9EFF6"/>
          </w:tcPr>
          <w:p>
            <w:pPr>
              <w:jc w:val="left"/>
              <w:spacing w:after="110" w:line="330" w:lineRule="auto"/>
            </w:pPr>
            <w:r>
              <w:rPr>
                <w:b/>
                <w:sz w:val="18"/>
                <w:szCs w:val="18"/>
                <w:rFonts w:ascii="Arial" w:hAnsi="Arial" w:cs="Noto Naskh Arabic"/>
              </w:rPr>
              <w:t xml:space="preserve">Supraorbital (n=28)</w:t>
            </w:r>
          </w:p>
        </w:tc>
        <w:tc>
          <w:tcPr>
            <w:shd w:fill="E9EFF6"/>
          </w:tcPr>
          <w:p>
            <w:pPr>
              <w:jc w:val="left"/>
              <w:spacing w:after="110" w:line="330" w:lineRule="auto"/>
            </w:pPr>
            <w:r>
              <w:rPr>
                <w:b/>
                <w:sz w:val="18"/>
                <w:szCs w:val="18"/>
                <w:rFonts w:ascii="Arial" w:hAnsi="Arial" w:cs="Noto Naskh Arabic"/>
              </w:rPr>
              <w:t xml:space="preserve">Infraorbital (n=27)</w:t>
            </w:r>
          </w:p>
        </w:tc>
        <w:tc>
          <w:tcPr>
            <w:shd w:fill="E9EFF6"/>
          </w:tcPr>
          <w:p>
            <w:pPr>
              <w:jc w:val="left"/>
              <w:spacing w:after="110" w:line="330" w:lineRule="auto"/>
            </w:pPr>
            <w:r>
              <w:rPr>
                <w:b/>
                <w:sz w:val="18"/>
                <w:szCs w:val="18"/>
                <w:rFonts w:ascii="Arial" w:hAnsi="Arial" w:cs="Noto Naskh Arabic"/>
              </w:rPr>
              <w:t xml:space="preserve">Sham (n=28)</w:t>
            </w:r>
          </w:p>
        </w:tc>
      </w:tr>
      <w:tr>
        <w:tc>
          <w:tcPr/>
          <w:p>
            <w:pPr>
              <w:jc w:val="left"/>
              <w:spacing w:after="110" w:line="330" w:lineRule="auto"/>
            </w:pPr>
            <w:r>
              <w:rPr>
                <w:sz w:val="18"/>
                <w:szCs w:val="18"/>
                <w:rFonts w:ascii="Arial" w:hAnsi="Arial" w:cs="Noto Naskh Arabic"/>
              </w:rPr>
              <w:t xml:space="preserve">Age, years, mean (SD)</w:t>
            </w:r>
          </w:p>
        </w:tc>
        <w:tc>
          <w:tcPr/>
          <w:p>
            <w:pPr>
              <w:jc w:val="left"/>
              <w:spacing w:after="110" w:line="330" w:lineRule="auto"/>
            </w:pPr>
            <w:r>
              <w:rPr>
                <w:sz w:val="18"/>
                <w:szCs w:val="18"/>
                <w:rFonts w:ascii="Arial" w:hAnsi="Arial" w:cs="Noto Naskh Arabic"/>
              </w:rPr>
              <w:t xml:space="preserve">35.8 (7.6)</w:t>
            </w:r>
          </w:p>
        </w:tc>
        <w:tc>
          <w:tcPr/>
          <w:p>
            <w:pPr>
              <w:jc w:val="left"/>
              <w:spacing w:after="110" w:line="330" w:lineRule="auto"/>
            </w:pPr>
            <w:r>
              <w:rPr>
                <w:sz w:val="18"/>
                <w:szCs w:val="18"/>
                <w:rFonts w:ascii="Arial" w:hAnsi="Arial" w:cs="Noto Naskh Arabic"/>
              </w:rPr>
              <w:t xml:space="preserve">36.4 (6.9)</w:t>
            </w:r>
          </w:p>
        </w:tc>
        <w:tc>
          <w:tcPr/>
          <w:p>
            <w:pPr>
              <w:jc w:val="left"/>
              <w:spacing w:after="110" w:line="330" w:lineRule="auto"/>
            </w:pPr>
            <w:r>
              <w:rPr>
                <w:sz w:val="18"/>
                <w:szCs w:val="18"/>
                <w:rFonts w:ascii="Arial" w:hAnsi="Arial" w:cs="Noto Naskh Arabic"/>
              </w:rPr>
              <w:t xml:space="preserve">35.1 (7.2)</w:t>
            </w:r>
          </w:p>
        </w:tc>
      </w:tr>
      <w:tr>
        <w:tc>
          <w:tcPr/>
          <w:p>
            <w:pPr>
              <w:jc w:val="left"/>
              <w:spacing w:after="110" w:line="330" w:lineRule="auto"/>
            </w:pPr>
            <w:r>
              <w:rPr>
                <w:sz w:val="18"/>
                <w:szCs w:val="18"/>
                <w:rFonts w:ascii="Arial" w:hAnsi="Arial" w:cs="Noto Naskh Arabic"/>
              </w:rPr>
              <w:t xml:space="preserve">Female, n (%)</w:t>
            </w:r>
          </w:p>
        </w:tc>
        <w:tc>
          <w:tcPr/>
          <w:p>
            <w:pPr>
              <w:jc w:val="left"/>
              <w:spacing w:after="110" w:line="330" w:lineRule="auto"/>
            </w:pPr>
            <w:r>
              <w:rPr>
                <w:sz w:val="18"/>
                <w:szCs w:val="18"/>
                <w:rFonts w:ascii="Arial" w:hAnsi="Arial" w:cs="Noto Naskh Arabic"/>
              </w:rPr>
              <w:t xml:space="preserve">21 (75.0)</w:t>
            </w:r>
          </w:p>
        </w:tc>
        <w:tc>
          <w:tcPr/>
          <w:p>
            <w:pPr>
              <w:jc w:val="left"/>
              <w:spacing w:after="110" w:line="330" w:lineRule="auto"/>
            </w:pPr>
            <w:r>
              <w:rPr>
                <w:sz w:val="18"/>
                <w:szCs w:val="18"/>
                <w:rFonts w:ascii="Arial" w:hAnsi="Arial" w:cs="Noto Naskh Arabic"/>
              </w:rPr>
              <w:t xml:space="preserve">20 (74.1)</w:t>
            </w:r>
          </w:p>
        </w:tc>
        <w:tc>
          <w:tcPr/>
          <w:p>
            <w:pPr>
              <w:jc w:val="left"/>
              <w:spacing w:after="110" w:line="330" w:lineRule="auto"/>
            </w:pPr>
            <w:r>
              <w:rPr>
                <w:sz w:val="18"/>
                <w:szCs w:val="18"/>
                <w:rFonts w:ascii="Arial" w:hAnsi="Arial" w:cs="Noto Naskh Arabic"/>
              </w:rPr>
              <w:t xml:space="preserve">22 (78.6)</w:t>
            </w:r>
          </w:p>
        </w:tc>
      </w:tr>
      <w:tr>
        <w:tc>
          <w:tcPr/>
          <w:p>
            <w:pPr>
              <w:jc w:val="left"/>
              <w:spacing w:after="110" w:line="330" w:lineRule="auto"/>
            </w:pPr>
            <w:r>
              <w:rPr>
                <w:sz w:val="18"/>
                <w:szCs w:val="18"/>
                <w:rFonts w:ascii="Arial" w:hAnsi="Arial" w:cs="Noto Naskh Arabic"/>
              </w:rPr>
              <w:t xml:space="preserve">Migraine with aura, n (%)</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Chronic migraine, n (%)</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Disease duration, years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Headache days/28 days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Migraine days/28 days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Migraine attacks/28 days</w:t>
            </w:r>
          </w:p>
        </w:tc>
        <w:tc>
          <w:tcPr/>
          <w:p>
            <w:pPr>
              <w:jc w:val="left"/>
              <w:spacing w:after="110" w:line="330" w:lineRule="auto"/>
            </w:pPr>
            <w:r>
              <w:rPr>
                <w:sz w:val="18"/>
                <w:szCs w:val="18"/>
                <w:rFonts w:ascii="Arial" w:hAnsi="Arial" w:cs="Noto Naskh Arabic"/>
              </w:rPr>
              <w:t xml:space="preserve">14.18 (3.95)</w:t>
            </w:r>
          </w:p>
        </w:tc>
        <w:tc>
          <w:tcPr/>
          <w:p>
            <w:pPr>
              <w:jc w:val="left"/>
              <w:spacing w:after="110" w:line="330" w:lineRule="auto"/>
            </w:pPr>
            <w:r>
              <w:rPr>
                <w:sz w:val="18"/>
                <w:szCs w:val="18"/>
                <w:rFonts w:ascii="Arial" w:hAnsi="Arial" w:cs="Noto Naskh Arabic"/>
              </w:rPr>
              <w:t xml:space="preserve">15.13 (4.51)</w:t>
            </w:r>
          </w:p>
        </w:tc>
        <w:tc>
          <w:tcPr/>
          <w:p>
            <w:pPr>
              <w:jc w:val="left"/>
              <w:spacing w:after="110" w:line="330" w:lineRule="auto"/>
            </w:pPr>
            <w:r>
              <w:rPr>
                <w:sz w:val="18"/>
                <w:szCs w:val="18"/>
                <w:rFonts w:ascii="Arial" w:hAnsi="Arial" w:cs="Noto Naskh Arabic"/>
              </w:rPr>
              <w:t xml:space="preserve">12.32 (4.99)</w:t>
            </w:r>
          </w:p>
        </w:tc>
      </w:tr>
      <w:tr>
        <w:tc>
          <w:tcPr/>
          <w:p>
            <w:pPr>
              <w:jc w:val="left"/>
              <w:spacing w:after="110" w:line="330" w:lineRule="auto"/>
            </w:pPr>
            <w:r>
              <w:rPr>
                <w:sz w:val="18"/>
                <w:szCs w:val="18"/>
                <w:rFonts w:ascii="Arial" w:hAnsi="Arial" w:cs="Noto Naskh Arabic"/>
              </w:rPr>
              <w:t xml:space="preserve">VAS/NRS</w:t>
            </w:r>
          </w:p>
        </w:tc>
        <w:tc>
          <w:tcPr/>
          <w:p>
            <w:pPr>
              <w:jc w:val="left"/>
              <w:spacing w:after="110" w:line="330" w:lineRule="auto"/>
            </w:pPr>
            <w:r>
              <w:rPr>
                <w:sz w:val="18"/>
                <w:szCs w:val="18"/>
                <w:rFonts w:ascii="Arial" w:hAnsi="Arial" w:cs="Noto Naskh Arabic"/>
              </w:rPr>
              <w:t xml:space="preserve">7.30 (1.29)</w:t>
            </w:r>
          </w:p>
        </w:tc>
        <w:tc>
          <w:tcPr/>
          <w:p>
            <w:pPr>
              <w:jc w:val="left"/>
              <w:spacing w:after="110" w:line="330" w:lineRule="auto"/>
            </w:pPr>
            <w:r>
              <w:rPr>
                <w:sz w:val="18"/>
                <w:szCs w:val="18"/>
                <w:rFonts w:ascii="Arial" w:hAnsi="Arial" w:cs="Noto Naskh Arabic"/>
              </w:rPr>
              <w:t xml:space="preserve">7.07 (1.47)</w:t>
            </w:r>
          </w:p>
        </w:tc>
        <w:tc>
          <w:tcPr/>
          <w:p>
            <w:pPr>
              <w:jc w:val="left"/>
              <w:spacing w:after="110" w:line="330" w:lineRule="auto"/>
            </w:pPr>
            <w:r>
              <w:rPr>
                <w:sz w:val="18"/>
                <w:szCs w:val="18"/>
                <w:rFonts w:ascii="Arial" w:hAnsi="Arial" w:cs="Noto Naskh Arabic"/>
              </w:rPr>
              <w:t xml:space="preserve">7.10 (1.11)</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20.02 (5.22)</w:t>
            </w:r>
          </w:p>
        </w:tc>
        <w:tc>
          <w:tcPr/>
          <w:p>
            <w:pPr>
              <w:jc w:val="left"/>
              <w:spacing w:after="110" w:line="330" w:lineRule="auto"/>
            </w:pPr>
            <w:r>
              <w:rPr>
                <w:sz w:val="18"/>
                <w:szCs w:val="18"/>
                <w:rFonts w:ascii="Arial" w:hAnsi="Arial" w:cs="Noto Naskh Arabic"/>
              </w:rPr>
              <w:t xml:space="preserve">17.94 (6.30)</w:t>
            </w:r>
          </w:p>
        </w:tc>
        <w:tc>
          <w:tcPr/>
          <w:p>
            <w:pPr>
              <w:jc w:val="left"/>
              <w:spacing w:after="110" w:line="330" w:lineRule="auto"/>
            </w:pPr>
            <w:r>
              <w:rPr>
                <w:sz w:val="18"/>
                <w:szCs w:val="18"/>
                <w:rFonts w:ascii="Arial" w:hAnsi="Arial" w:cs="Noto Naskh Arabic"/>
              </w:rPr>
              <w:t xml:space="preserve">19.36 (4.05)</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62.58 (4.78)</w:t>
            </w:r>
          </w:p>
        </w:tc>
        <w:tc>
          <w:tcPr/>
          <w:p>
            <w:pPr>
              <w:jc w:val="left"/>
              <w:spacing w:after="110" w:line="330" w:lineRule="auto"/>
            </w:pPr>
            <w:r>
              <w:rPr>
                <w:sz w:val="18"/>
                <w:szCs w:val="18"/>
                <w:rFonts w:ascii="Arial" w:hAnsi="Arial" w:cs="Noto Naskh Arabic"/>
              </w:rPr>
              <w:t xml:space="preserve">64.22 (5.93)</w:t>
            </w:r>
          </w:p>
        </w:tc>
        <w:tc>
          <w:tcPr/>
          <w:p>
            <w:pPr>
              <w:jc w:val="left"/>
              <w:spacing w:after="110" w:line="330" w:lineRule="auto"/>
            </w:pPr>
            <w:r>
              <w:rPr>
                <w:sz w:val="18"/>
                <w:szCs w:val="18"/>
                <w:rFonts w:ascii="Arial" w:hAnsi="Arial" w:cs="Noto Naskh Arabic"/>
              </w:rPr>
              <w:t xml:space="preserve">61.11 (3.74)</w:t>
            </w:r>
          </w:p>
        </w:tc>
      </w:tr>
      <w:tr>
        <w:tc>
          <w:tcPr/>
          <w:p>
            <w:pPr>
              <w:jc w:val="left"/>
              <w:spacing w:after="110" w:line="330" w:lineRule="auto"/>
            </w:pPr>
            <w:r>
              <w:rPr>
                <w:sz w:val="18"/>
                <w:szCs w:val="18"/>
                <w:rFonts w:ascii="Arial" w:hAnsi="Arial" w:cs="Noto Naskh Arabic"/>
              </w:rPr>
              <w:t xml:space="preserve">Analgesic-use occasions</w:t>
            </w:r>
          </w:p>
        </w:tc>
        <w:tc>
          <w:tcPr/>
          <w:p>
            <w:pPr>
              <w:jc w:val="left"/>
              <w:spacing w:after="110" w:line="330" w:lineRule="auto"/>
            </w:pPr>
            <w:r>
              <w:rPr>
                <w:sz w:val="18"/>
                <w:szCs w:val="18"/>
                <w:rFonts w:ascii="Arial" w:hAnsi="Arial" w:cs="Noto Naskh Arabic"/>
              </w:rPr>
              <w:t xml:space="preserve">14.62 (4.35)</w:t>
            </w:r>
          </w:p>
        </w:tc>
        <w:tc>
          <w:tcPr/>
          <w:p>
            <w:pPr>
              <w:jc w:val="left"/>
              <w:spacing w:after="110" w:line="330" w:lineRule="auto"/>
            </w:pPr>
            <w:r>
              <w:rPr>
                <w:sz w:val="18"/>
                <w:szCs w:val="18"/>
                <w:rFonts w:ascii="Arial" w:hAnsi="Arial" w:cs="Noto Naskh Arabic"/>
              </w:rPr>
              <w:t xml:space="preserve">14.72 (3.50)</w:t>
            </w:r>
          </w:p>
        </w:tc>
        <w:tc>
          <w:tcPr/>
          <w:p>
            <w:pPr>
              <w:jc w:val="left"/>
              <w:spacing w:after="110" w:line="330" w:lineRule="auto"/>
            </w:pPr>
            <w:r>
              <w:rPr>
                <w:sz w:val="18"/>
                <w:szCs w:val="18"/>
                <w:rFonts w:ascii="Arial" w:hAnsi="Arial" w:cs="Noto Naskh Arabic"/>
              </w:rPr>
              <w:t xml:space="preserve">14.36 (4.27)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26.43 (6.49)</w:t>
            </w:r>
          </w:p>
        </w:tc>
        <w:tc>
          <w:tcPr/>
          <w:p>
            <w:pPr>
              <w:jc w:val="left"/>
              <w:spacing w:after="110" w:line="330" w:lineRule="auto"/>
            </w:pPr>
            <w:r>
              <w:rPr>
                <w:sz w:val="18"/>
                <w:szCs w:val="18"/>
                <w:rFonts w:ascii="Arial" w:hAnsi="Arial" w:cs="Noto Naskh Arabic"/>
              </w:rPr>
              <w:t xml:space="preserve">26.52 (6.23)</w:t>
            </w:r>
          </w:p>
        </w:tc>
        <w:tc>
          <w:tcPr/>
          <w:p>
            <w:pPr>
              <w:jc w:val="left"/>
              <w:spacing w:after="110" w:line="330" w:lineRule="auto"/>
            </w:pPr>
            <w:r>
              <w:rPr>
                <w:sz w:val="18"/>
                <w:szCs w:val="18"/>
                <w:rFonts w:ascii="Arial" w:hAnsi="Arial" w:cs="Noto Naskh Arabic"/>
              </w:rPr>
              <w:t xml:space="preserve">25.42 (6.40)</w:t>
            </w:r>
          </w:p>
        </w:tc>
      </w:tr>
      <w:tr>
        <w:tc>
          <w:tcPr/>
          <w:p>
            <w:pPr>
              <w:jc w:val="left"/>
              <w:spacing w:after="110" w:line="330" w:lineRule="auto"/>
            </w:pPr>
            <w:r>
              <w:rPr>
                <w:sz w:val="18"/>
                <w:szCs w:val="18"/>
                <w:rFonts w:ascii="Arial" w:hAnsi="Arial" w:cs="Noto Naskh Arabic"/>
              </w:rPr>
              <w:t xml:space="preserve">Previous preventive failures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Acute medication classes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bl>
    <w:p>
      <w:pPr>
        <w:jc w:val="left"/>
        <w:spacing w:after="110" w:line="330" w:lineRule="auto"/>
      </w:pPr>
      <w:r>
        <w:rPr>
          <w:sz w:val="22"/>
          <w:szCs w:val="22"/>
          <w:rFonts w:ascii="Arial" w:hAnsi="Arial" w:cs="Noto Naskh Arabic"/>
        </w:rPr>
        <w:t xml:space="preserve">Check all values against participant-level data. The age and sex p-values in the supplied manuscript are not reproducible from the aggregate table and should be removed.</w:t>
      </w:r>
    </w:p>
    <w:p>
      <w:pPr>
        <w:pStyle w:val="Heading3"/>
        <w:jc w:val="left"/>
        <w:spacing w:after="110" w:line="330" w:lineRule="auto"/>
        <w:keepNext/>
      </w:pPr>
      <w:r>
        <w:rPr>
          <w:b/>
          <w:sz w:val="20"/>
          <w:szCs w:val="20"/>
          <w:rFonts w:ascii="Arial" w:hAnsi="Arial" w:cs="Noto Naskh Arabic"/>
        </w:rPr>
        <w:t xml:space="preserve">3.3 Primary outcome</w:t>
      </w:r>
    </w:p>
    <w:p>
      <w:pPr>
        <w:jc w:val="left"/>
        <w:spacing w:after="110" w:line="330" w:lineRule="auto"/>
      </w:pPr>
      <w:r>
        <w:rPr>
          <w:sz w:val="22"/>
          <w:szCs w:val="22"/>
          <w:rFonts w:ascii="Arial" w:hAnsi="Arial" w:cs="Noto Naskh Arabic"/>
        </w:rPr>
        <w:t xml:space="preserve">The observed aggregate values were:</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c>
          <w:tcPr>
            <w:shd w:fill="E9EFF6"/>
          </w:tcPr>
          <w:p>
            <w:pPr>
              <w:jc w:val="left"/>
              <w:spacing w:after="110" w:line="330" w:lineRule="auto"/>
            </w:pPr>
            <w:r>
              <w:rPr>
                <w:b/>
                <w:sz w:val="18"/>
                <w:szCs w:val="18"/>
                <w:rFonts w:ascii="Arial" w:hAnsi="Arial" w:cs="Noto Naskh Arabic"/>
              </w:rPr>
              <w:t xml:space="preserve">Unadjusted mean change</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14.18 (3.95)</w:t>
            </w:r>
          </w:p>
        </w:tc>
        <w:tc>
          <w:tcPr/>
          <w:p>
            <w:pPr>
              <w:jc w:val="left"/>
              <w:spacing w:after="110" w:line="330" w:lineRule="auto"/>
            </w:pPr>
            <w:r>
              <w:rPr>
                <w:sz w:val="18"/>
                <w:szCs w:val="18"/>
                <w:rFonts w:ascii="Arial" w:hAnsi="Arial" w:cs="Noto Naskh Arabic"/>
              </w:rPr>
              <w:t xml:space="preserve">7.68 (2.84)</w:t>
            </w:r>
          </w:p>
        </w:tc>
        <w:tc>
          <w:tcPr/>
          <w:p>
            <w:pPr>
              <w:jc w:val="left"/>
              <w:spacing w:after="110" w:line="330" w:lineRule="auto"/>
            </w:pPr>
            <w:r>
              <w:rPr>
                <w:sz w:val="18"/>
                <w:szCs w:val="18"/>
                <w:rFonts w:ascii="Arial" w:hAnsi="Arial" w:cs="Noto Naskh Arabic"/>
              </w:rPr>
              <w:t xml:space="preserve">6.59 (2.70)</w:t>
            </w:r>
          </w:p>
        </w:tc>
        <w:tc>
          <w:tcPr/>
          <w:p>
            <w:pPr>
              <w:jc w:val="left"/>
              <w:spacing w:after="110" w:line="330" w:lineRule="auto"/>
            </w:pPr>
            <w:r>
              <w:rPr>
                <w:sz w:val="18"/>
                <w:szCs w:val="18"/>
                <w:rFonts w:ascii="Arial" w:hAnsi="Arial" w:cs="Noto Naskh Arabic"/>
              </w:rPr>
              <w:t xml:space="preserve">−7.59</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15.13 (4.51)</w:t>
            </w:r>
          </w:p>
        </w:tc>
        <w:tc>
          <w:tcPr/>
          <w:p>
            <w:pPr>
              <w:jc w:val="left"/>
              <w:spacing w:after="110" w:line="330" w:lineRule="auto"/>
            </w:pPr>
            <w:r>
              <w:rPr>
                <w:sz w:val="18"/>
                <w:szCs w:val="18"/>
                <w:rFonts w:ascii="Arial" w:hAnsi="Arial" w:cs="Noto Naskh Arabic"/>
              </w:rPr>
              <w:t xml:space="preserve">9.19 (4.03)</w:t>
            </w:r>
          </w:p>
        </w:tc>
        <w:tc>
          <w:tcPr/>
          <w:p>
            <w:pPr>
              <w:jc w:val="left"/>
              <w:spacing w:after="110" w:line="330" w:lineRule="auto"/>
            </w:pPr>
            <w:r>
              <w:rPr>
                <w:sz w:val="18"/>
                <w:szCs w:val="18"/>
                <w:rFonts w:ascii="Arial" w:hAnsi="Arial" w:cs="Noto Naskh Arabic"/>
              </w:rPr>
              <w:t xml:space="preserve">6.16 (2.48)</w:t>
            </w:r>
          </w:p>
        </w:tc>
        <w:tc>
          <w:tcPr/>
          <w:p>
            <w:pPr>
              <w:jc w:val="left"/>
              <w:spacing w:after="110" w:line="330" w:lineRule="auto"/>
            </w:pPr>
            <w:r>
              <w:rPr>
                <w:sz w:val="18"/>
                <w:szCs w:val="18"/>
                <w:rFonts w:ascii="Arial" w:hAnsi="Arial" w:cs="Noto Naskh Arabic"/>
              </w:rPr>
              <w:t xml:space="preserve">−8.97</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12.32 (4.99)</w:t>
            </w:r>
          </w:p>
        </w:tc>
        <w:tc>
          <w:tcPr/>
          <w:p>
            <w:pPr>
              <w:jc w:val="left"/>
              <w:spacing w:after="110" w:line="330" w:lineRule="auto"/>
            </w:pPr>
            <w:r>
              <w:rPr>
                <w:sz w:val="18"/>
                <w:szCs w:val="18"/>
                <w:rFonts w:ascii="Arial" w:hAnsi="Arial" w:cs="Noto Naskh Arabic"/>
              </w:rPr>
              <w:t xml:space="preserve">14.27 (4.15)</w:t>
            </w:r>
          </w:p>
        </w:tc>
        <w:tc>
          <w:tcPr/>
          <w:p>
            <w:pPr>
              <w:jc w:val="left"/>
              <w:spacing w:after="110" w:line="330" w:lineRule="auto"/>
            </w:pPr>
            <w:r>
              <w:rPr>
                <w:sz w:val="18"/>
                <w:szCs w:val="18"/>
                <w:rFonts w:ascii="Arial" w:hAnsi="Arial" w:cs="Noto Naskh Arabic"/>
              </w:rPr>
              <w:t xml:space="preserve">12.94 (5.01)</w:t>
            </w:r>
          </w:p>
        </w:tc>
        <w:tc>
          <w:tcPr/>
          <w:p>
            <w:pPr>
              <w:jc w:val="left"/>
              <w:spacing w:after="110" w:line="330" w:lineRule="auto"/>
            </w:pPr>
            <w:r>
              <w:rPr>
                <w:sz w:val="18"/>
                <w:szCs w:val="18"/>
                <w:rFonts w:ascii="Arial" w:hAnsi="Arial" w:cs="Noto Naskh Arabic"/>
              </w:rPr>
              <w:t xml:space="preserve">+0.62</w:t>
            </w:r>
          </w:p>
        </w:tc>
      </w:tr>
    </w:tbl>
    <w:p>
      <w:pPr>
        <w:jc w:val="left"/>
        <w:spacing w:after="110" w:line="330" w:lineRule="auto"/>
      </w:pPr>
      <w:r>
        <w:rPr>
          <w:sz w:val="22"/>
          <w:szCs w:val="22"/>
          <w:rFonts w:ascii="Arial" w:hAnsi="Arial" w:cs="Noto Naskh Arabic"/>
        </w:rPr>
        <w:t xml:space="preserve">At three months, the unadjusted endpoint differences were:</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tblGrid>
      <w:tr>
        <w:tc>
          <w:tcPr>
            <w:shd w:fill="E9EFF6"/>
          </w:tcPr>
          <w:p>
            <w:pPr>
              <w:jc w:val="left"/>
              <w:spacing w:after="110" w:line="330" w:lineRule="auto"/>
            </w:pPr>
            <w:r>
              <w:rPr>
                <w:b/>
                <w:sz w:val="18"/>
                <w:szCs w:val="18"/>
                <w:rFonts w:ascii="Arial" w:hAnsi="Arial" w:cs="Noto Naskh Arabic"/>
              </w:rPr>
              <w:t xml:space="preserve">Contrast</w:t>
            </w:r>
          </w:p>
        </w:tc>
        <w:tc>
          <w:tcPr>
            <w:shd w:fill="E9EFF6"/>
          </w:tcPr>
          <w:p>
            <w:pPr>
              <w:jc w:val="left"/>
              <w:spacing w:after="110" w:line="330" w:lineRule="auto"/>
            </w:pPr>
            <w:r>
              <w:rPr>
                <w:b/>
                <w:sz w:val="18"/>
                <w:szCs w:val="18"/>
                <w:rFonts w:ascii="Arial" w:hAnsi="Arial" w:cs="Noto Naskh Arabic"/>
              </w:rPr>
              <w:t xml:space="preserve">Mean difference (approximate Welch 95% CI)</w:t>
            </w:r>
          </w:p>
        </w:tc>
      </w:tr>
      <w:tr>
        <w:tc>
          <w:tcPr/>
          <w:p>
            <w:pPr>
              <w:jc w:val="left"/>
              <w:spacing w:after="110" w:line="330" w:lineRule="auto"/>
            </w:pPr>
            <w:r>
              <w:rPr>
                <w:sz w:val="18"/>
                <w:szCs w:val="18"/>
                <w:rFonts w:ascii="Arial" w:hAnsi="Arial" w:cs="Noto Naskh Arabic"/>
              </w:rPr>
              <w:t xml:space="preserve">Supraorbital − sham</w:t>
            </w:r>
          </w:p>
        </w:tc>
        <w:tc>
          <w:tcPr/>
          <w:p>
            <w:pPr>
              <w:jc w:val="left"/>
              <w:spacing w:after="110" w:line="330" w:lineRule="auto"/>
            </w:pPr>
            <w:r>
              <w:rPr>
                <w:sz w:val="18"/>
                <w:szCs w:val="18"/>
                <w:rFonts w:ascii="Arial" w:hAnsi="Arial" w:cs="Noto Naskh Arabic"/>
              </w:rPr>
              <w:t xml:space="preserve">−6.35 (−8.52 to −4.18)</w:t>
            </w:r>
          </w:p>
        </w:tc>
      </w:tr>
      <w:tr>
        <w:tc>
          <w:tcPr/>
          <w:p>
            <w:pPr>
              <w:jc w:val="left"/>
              <w:spacing w:after="110" w:line="330" w:lineRule="auto"/>
            </w:pPr>
            <w:r>
              <w:rPr>
                <w:sz w:val="18"/>
                <w:szCs w:val="18"/>
                <w:rFonts w:ascii="Arial" w:hAnsi="Arial" w:cs="Noto Naskh Arabic"/>
              </w:rPr>
              <w:t xml:space="preserve">Infraorbital − sham</w:t>
            </w:r>
          </w:p>
        </w:tc>
        <w:tc>
          <w:tcPr/>
          <w:p>
            <w:pPr>
              <w:jc w:val="left"/>
              <w:spacing w:after="110" w:line="330" w:lineRule="auto"/>
            </w:pPr>
            <w:r>
              <w:rPr>
                <w:sz w:val="18"/>
                <w:szCs w:val="18"/>
                <w:rFonts w:ascii="Arial" w:hAnsi="Arial" w:cs="Noto Naskh Arabic"/>
              </w:rPr>
              <w:t xml:space="preserve">−6.78 (−8.92 to −4.64)</w:t>
            </w:r>
          </w:p>
        </w:tc>
      </w:tr>
      <w:tr>
        <w:tc>
          <w:tcPr/>
          <w:p>
            <w:pPr>
              <w:jc w:val="left"/>
              <w:spacing w:after="110" w:line="330" w:lineRule="auto"/>
            </w:pPr>
            <w:r>
              <w:rPr>
                <w:sz w:val="18"/>
                <w:szCs w:val="18"/>
                <w:rFonts w:ascii="Arial" w:hAnsi="Arial" w:cs="Noto Naskh Arabic"/>
              </w:rPr>
              <w:t xml:space="preserve">Supraorbital − infraorbital</w:t>
            </w:r>
          </w:p>
        </w:tc>
        <w:tc>
          <w:tcPr/>
          <w:p>
            <w:pPr>
              <w:jc w:val="left"/>
              <w:spacing w:after="110" w:line="330" w:lineRule="auto"/>
            </w:pPr>
            <w:r>
              <w:rPr>
                <w:sz w:val="18"/>
                <w:szCs w:val="18"/>
                <w:rFonts w:ascii="Arial" w:hAnsi="Arial" w:cs="Noto Naskh Arabic"/>
              </w:rPr>
              <w:t xml:space="preserve">0.43 (−0.97 to 1.83)</w:t>
            </w:r>
          </w:p>
        </w:tc>
      </w:tr>
    </w:tbl>
    <w:p>
      <w:pPr>
        <w:jc w:val="left"/>
        <w:spacing w:after="110" w:line="330" w:lineRule="auto"/>
      </w:pPr>
      <w:r>
        <w:rPr>
          <w:sz w:val="22"/>
          <w:szCs w:val="22"/>
          <w:rFonts w:ascii="Arial" w:hAnsi="Arial" w:cs="Noto Naskh Arabic"/>
        </w:rPr>
        <w:t xml:space="preserve">These values are descriptive and do not account for baseline differences. Replace the following template after participant-level reanalysis:</w:t>
      </w:r>
    </w:p>
    <w:p>
      <w:pPr>
        <w:bidi/>
        <w:jc w:val="right"/>
        <w:spacing w:after="110" w:line="330" w:lineRule="auto"/>
      </w:pPr>
      <w:r>
        <w:rPr>
          <w:sz w:val="21"/>
          <w:szCs w:val="21"/>
          <w:rFonts w:ascii="Arial" w:hAnsi="Arial" w:cs="Noto Naskh Arabic"/>
        </w:rPr>
        <w:t xml:space="preserve">نکته: In the prespecified baseline-adjusted model, the estimated [rate ratio/absolute marginal difference] for supraorbital TENS versus sham was [estimate] (multiplicity-adjusted 95% CI [x to y], p=[value]), and for infraorbital TENS versus sham was [estimate] ([x to y], p=[value]). The exploratory supraorbital–infraorbital estimate was [estimate] ([x to y]); this trial did not test equivalence or non-inferiority.</w:t>
      </w:r>
    </w:p>
    <w:p>
      <w:pPr>
        <w:jc w:val="left"/>
        <w:spacing w:after="110" w:line="330" w:lineRule="auto"/>
      </w:pPr>
      <w:r>
        <w:rPr>
          <w:sz w:val="22"/>
          <w:szCs w:val="22"/>
          <w:rFonts w:ascii="Arial" w:hAnsi="Arial" w:cs="Noto Naskh Arabic"/>
        </w:rPr>
        <w:t xml:space="preserve">Do not use separate within-group Friedman p-values as evidence of treatment efficacy.</w:t>
      </w:r>
    </w:p>
    <w:p>
      <w:pPr>
        <w:pStyle w:val="Heading3"/>
        <w:jc w:val="left"/>
        <w:spacing w:after="110" w:line="330" w:lineRule="auto"/>
        <w:keepNext/>
      </w:pPr>
      <w:r>
        <w:rPr>
          <w:b/>
          <w:sz w:val="20"/>
          <w:szCs w:val="20"/>
          <w:rFonts w:ascii="Arial" w:hAnsi="Arial" w:cs="Noto Naskh Arabic"/>
        </w:rPr>
        <w:t xml:space="preserve">3.4 Secondary outcomes</w:t>
      </w:r>
    </w:p>
    <w:p>
      <w:pPr>
        <w:jc w:val="left"/>
        <w:spacing w:after="110" w:line="330" w:lineRule="auto"/>
      </w:pPr>
      <w:r>
        <w:rPr>
          <w:sz w:val="22"/>
          <w:szCs w:val="22"/>
          <w:rFonts w:ascii="Arial" w:hAnsi="Arial" w:cs="Noto Naskh Arabic"/>
        </w:rPr>
        <w:t xml:space="preserve">Aggregate three-month outcomes and corrected descriptive Welch intervals: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Outcome</w:t>
            </w:r>
          </w:p>
        </w:tc>
        <w:tc>
          <w:tcPr>
            <w:shd w:fill="E9EFF6"/>
          </w:tcPr>
          <w:p>
            <w:pPr>
              <w:jc w:val="left"/>
              <w:spacing w:after="110" w:line="330" w:lineRule="auto"/>
            </w:pPr>
            <w:r>
              <w:rPr>
                <w:b/>
                <w:sz w:val="18"/>
                <w:szCs w:val="18"/>
                <w:rFonts w:ascii="Arial" w:hAnsi="Arial" w:cs="Noto Naskh Arabic"/>
              </w:rPr>
              <w:t xml:space="preserve">Supra mean (SD)</w:t>
            </w:r>
          </w:p>
        </w:tc>
        <w:tc>
          <w:tcPr>
            <w:shd w:fill="E9EFF6"/>
          </w:tcPr>
          <w:p>
            <w:pPr>
              <w:jc w:val="left"/>
              <w:spacing w:after="110" w:line="330" w:lineRule="auto"/>
            </w:pPr>
            <w:r>
              <w:rPr>
                <w:b/>
                <w:sz w:val="18"/>
                <w:szCs w:val="18"/>
                <w:rFonts w:ascii="Arial" w:hAnsi="Arial" w:cs="Noto Naskh Arabic"/>
              </w:rPr>
              <w:t xml:space="preserve">Infra mean (SD)</w:t>
            </w:r>
          </w:p>
        </w:tc>
        <w:tc>
          <w:tcPr>
            <w:shd w:fill="E9EFF6"/>
          </w:tcPr>
          <w:p>
            <w:pPr>
              <w:jc w:val="left"/>
              <w:spacing w:after="110" w:line="330" w:lineRule="auto"/>
            </w:pPr>
            <w:r>
              <w:rPr>
                <w:b/>
                <w:sz w:val="18"/>
                <w:szCs w:val="18"/>
                <w:rFonts w:ascii="Arial" w:hAnsi="Arial" w:cs="Noto Naskh Arabic"/>
              </w:rPr>
              <w:t xml:space="preserve">Sham mean (SD)</w:t>
            </w:r>
          </w:p>
        </w:tc>
        <w:tc>
          <w:tcPr>
            <w:shd w:fill="E9EFF6"/>
          </w:tcPr>
          <w:p>
            <w:pPr>
              <w:jc w:val="left"/>
              <w:spacing w:after="110" w:line="330" w:lineRule="auto"/>
            </w:pPr>
            <w:r>
              <w:rPr>
                <w:b/>
                <w:sz w:val="18"/>
                <w:szCs w:val="18"/>
                <w:rFonts w:ascii="Arial" w:hAnsi="Arial" w:cs="Noto Naskh Arabic"/>
              </w:rPr>
              <w:t xml:space="preserve">Supra−sham MD (95% CI)</w:t>
            </w:r>
          </w:p>
        </w:tc>
        <w:tc>
          <w:tcPr>
            <w:shd w:fill="E9EFF6"/>
          </w:tcPr>
          <w:p>
            <w:pPr>
              <w:jc w:val="left"/>
              <w:spacing w:after="110" w:line="330" w:lineRule="auto"/>
            </w:pPr>
            <w:r>
              <w:rPr>
                <w:b/>
                <w:sz w:val="18"/>
                <w:szCs w:val="18"/>
                <w:rFonts w:ascii="Arial" w:hAnsi="Arial" w:cs="Noto Naskh Arabic"/>
              </w:rPr>
              <w:t xml:space="preserve">Infra−sham MD (95% CI)</w:t>
            </w:r>
          </w:p>
        </w:tc>
        <w:tc>
          <w:tcPr>
            <w:shd w:fill="E9EFF6"/>
          </w:tcPr>
          <w:p>
            <w:pPr>
              <w:jc w:val="left"/>
              <w:spacing w:after="110" w:line="330" w:lineRule="auto"/>
            </w:pPr>
            <w:r>
              <w:rPr>
                <w:b/>
                <w:sz w:val="18"/>
                <w:szCs w:val="18"/>
                <w:rFonts w:ascii="Arial" w:hAnsi="Arial" w:cs="Noto Naskh Arabic"/>
              </w:rPr>
              <w:t xml:space="preserve">Supra−infra MD (95% CI)</w:t>
            </w:r>
          </w:p>
        </w:tc>
      </w:tr>
      <w:tr>
        <w:tc>
          <w:tcPr/>
          <w:p>
            <w:pPr>
              <w:jc w:val="left"/>
              <w:spacing w:after="110" w:line="330" w:lineRule="auto"/>
            </w:pPr>
            <w:r>
              <w:rPr>
                <w:sz w:val="18"/>
                <w:szCs w:val="18"/>
                <w:rFonts w:ascii="Arial" w:hAnsi="Arial" w:cs="Noto Naskh Arabic"/>
              </w:rPr>
              <w:t xml:space="preserve">Pain intensity</w:t>
            </w:r>
          </w:p>
        </w:tc>
        <w:tc>
          <w:tcPr/>
          <w:p>
            <w:pPr>
              <w:jc w:val="left"/>
              <w:spacing w:after="110" w:line="330" w:lineRule="auto"/>
            </w:pPr>
            <w:r>
              <w:rPr>
                <w:sz w:val="18"/>
                <w:szCs w:val="18"/>
                <w:rFonts w:ascii="Arial" w:hAnsi="Arial" w:cs="Noto Naskh Arabic"/>
              </w:rPr>
              <w:t xml:space="preserve">3.92 (0.97)</w:t>
            </w:r>
          </w:p>
        </w:tc>
        <w:tc>
          <w:tcPr/>
          <w:p>
            <w:pPr>
              <w:jc w:val="left"/>
              <w:spacing w:after="110" w:line="330" w:lineRule="auto"/>
            </w:pPr>
            <w:r>
              <w:rPr>
                <w:sz w:val="18"/>
                <w:szCs w:val="18"/>
                <w:rFonts w:ascii="Arial" w:hAnsi="Arial" w:cs="Noto Naskh Arabic"/>
              </w:rPr>
              <w:t xml:space="preserve">3.90 (1.33)</w:t>
            </w:r>
          </w:p>
        </w:tc>
        <w:tc>
          <w:tcPr/>
          <w:p>
            <w:pPr>
              <w:jc w:val="left"/>
              <w:spacing w:after="110" w:line="330" w:lineRule="auto"/>
            </w:pPr>
            <w:r>
              <w:rPr>
                <w:sz w:val="18"/>
                <w:szCs w:val="18"/>
                <w:rFonts w:ascii="Arial" w:hAnsi="Arial" w:cs="Noto Naskh Arabic"/>
              </w:rPr>
              <w:t xml:space="preserve">6.53 (1.02)</w:t>
            </w:r>
          </w:p>
        </w:tc>
        <w:tc>
          <w:tcPr/>
          <w:p>
            <w:pPr>
              <w:jc w:val="left"/>
              <w:spacing w:after="110" w:line="330" w:lineRule="auto"/>
            </w:pPr>
            <w:r>
              <w:rPr>
                <w:sz w:val="18"/>
                <w:szCs w:val="18"/>
                <w:rFonts w:ascii="Arial" w:hAnsi="Arial" w:cs="Noto Naskh Arabic"/>
              </w:rPr>
              <w:t xml:space="preserve">−2.61 (−3.14, −2.08)</w:t>
            </w:r>
          </w:p>
        </w:tc>
        <w:tc>
          <w:tcPr/>
          <w:p>
            <w:pPr>
              <w:jc w:val="left"/>
              <w:spacing w:after="110" w:line="330" w:lineRule="auto"/>
            </w:pPr>
            <w:r>
              <w:rPr>
                <w:sz w:val="18"/>
                <w:szCs w:val="18"/>
                <w:rFonts w:ascii="Arial" w:hAnsi="Arial" w:cs="Noto Naskh Arabic"/>
              </w:rPr>
              <w:t xml:space="preserve">−2.63 (−3.27, −1.99)</w:t>
            </w:r>
          </w:p>
        </w:tc>
        <w:tc>
          <w:tcPr/>
          <w:p>
            <w:pPr>
              <w:jc w:val="left"/>
              <w:spacing w:after="110" w:line="330" w:lineRule="auto"/>
            </w:pPr>
            <w:r>
              <w:rPr>
                <w:sz w:val="18"/>
                <w:szCs w:val="18"/>
                <w:rFonts w:ascii="Arial" w:hAnsi="Arial" w:cs="Noto Naskh Arabic"/>
              </w:rPr>
              <w:t xml:space="preserve">0.02 (−0.61, 0.65)</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9.76 (3.12)</w:t>
            </w:r>
          </w:p>
        </w:tc>
        <w:tc>
          <w:tcPr/>
          <w:p>
            <w:pPr>
              <w:jc w:val="left"/>
              <w:spacing w:after="110" w:line="330" w:lineRule="auto"/>
            </w:pPr>
            <w:r>
              <w:rPr>
                <w:sz w:val="18"/>
                <w:szCs w:val="18"/>
                <w:rFonts w:ascii="Arial" w:hAnsi="Arial" w:cs="Noto Naskh Arabic"/>
              </w:rPr>
              <w:t xml:space="preserve">10.30 (2.07)</w:t>
            </w:r>
          </w:p>
        </w:tc>
        <w:tc>
          <w:tcPr/>
          <w:p>
            <w:pPr>
              <w:jc w:val="left"/>
              <w:spacing w:after="110" w:line="330" w:lineRule="auto"/>
            </w:pPr>
            <w:r>
              <w:rPr>
                <w:sz w:val="18"/>
                <w:szCs w:val="18"/>
                <w:rFonts w:ascii="Arial" w:hAnsi="Arial" w:cs="Noto Naskh Arabic"/>
              </w:rPr>
              <w:t xml:space="preserve">15.96 (5.39)</w:t>
            </w:r>
          </w:p>
        </w:tc>
        <w:tc>
          <w:tcPr/>
          <w:p>
            <w:pPr>
              <w:jc w:val="left"/>
              <w:spacing w:after="110" w:line="330" w:lineRule="auto"/>
            </w:pPr>
            <w:r>
              <w:rPr>
                <w:sz w:val="18"/>
                <w:szCs w:val="18"/>
                <w:rFonts w:ascii="Arial" w:hAnsi="Arial" w:cs="Noto Naskh Arabic"/>
              </w:rPr>
              <w:t xml:space="preserve">−6.20 (−8.57, −3.83)</w:t>
            </w:r>
          </w:p>
        </w:tc>
        <w:tc>
          <w:tcPr/>
          <w:p>
            <w:pPr>
              <w:jc w:val="left"/>
              <w:spacing w:after="110" w:line="330" w:lineRule="auto"/>
            </w:pPr>
            <w:r>
              <w:rPr>
                <w:sz w:val="18"/>
                <w:szCs w:val="18"/>
                <w:rFonts w:ascii="Arial" w:hAnsi="Arial" w:cs="Noto Naskh Arabic"/>
              </w:rPr>
              <w:t xml:space="preserve">−5.66 (−7.88, −3.44)</w:t>
            </w:r>
          </w:p>
        </w:tc>
        <w:tc>
          <w:tcPr/>
          <w:p>
            <w:pPr>
              <w:jc w:val="left"/>
              <w:spacing w:after="110" w:line="330" w:lineRule="auto"/>
            </w:pPr>
            <w:r>
              <w:rPr>
                <w:sz w:val="18"/>
                <w:szCs w:val="18"/>
                <w:rFonts w:ascii="Arial" w:hAnsi="Arial" w:cs="Noto Naskh Arabic"/>
              </w:rPr>
              <w:t xml:space="preserve">−0.54 (−1.97, 0.89)</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49.48 (4.84)</w:t>
            </w:r>
          </w:p>
        </w:tc>
        <w:tc>
          <w:tcPr/>
          <w:p>
            <w:pPr>
              <w:jc w:val="left"/>
              <w:spacing w:after="110" w:line="330" w:lineRule="auto"/>
            </w:pPr>
            <w:r>
              <w:rPr>
                <w:sz w:val="18"/>
                <w:szCs w:val="18"/>
                <w:rFonts w:ascii="Arial" w:hAnsi="Arial" w:cs="Noto Naskh Arabic"/>
              </w:rPr>
              <w:t xml:space="preserve">51.40 (3.01)</w:t>
            </w:r>
          </w:p>
        </w:tc>
        <w:tc>
          <w:tcPr/>
          <w:p>
            <w:pPr>
              <w:jc w:val="left"/>
              <w:spacing w:after="110" w:line="330" w:lineRule="auto"/>
            </w:pPr>
            <w:r>
              <w:rPr>
                <w:sz w:val="18"/>
                <w:szCs w:val="18"/>
                <w:rFonts w:ascii="Arial" w:hAnsi="Arial" w:cs="Noto Naskh Arabic"/>
              </w:rPr>
              <w:t xml:space="preserve">62.18 (4.13)</w:t>
            </w:r>
          </w:p>
        </w:tc>
        <w:tc>
          <w:tcPr/>
          <w:p>
            <w:pPr>
              <w:jc w:val="left"/>
              <w:spacing w:after="110" w:line="330" w:lineRule="auto"/>
            </w:pPr>
            <w:r>
              <w:rPr>
                <w:sz w:val="18"/>
                <w:szCs w:val="18"/>
                <w:rFonts w:ascii="Arial" w:hAnsi="Arial" w:cs="Noto Naskh Arabic"/>
              </w:rPr>
              <w:t xml:space="preserve">−12.70 (−15.11, −10.29)</w:t>
            </w:r>
          </w:p>
        </w:tc>
        <w:tc>
          <w:tcPr/>
          <w:p>
            <w:pPr>
              <w:jc w:val="left"/>
              <w:spacing w:after="110" w:line="330" w:lineRule="auto"/>
            </w:pPr>
            <w:r>
              <w:rPr>
                <w:sz w:val="18"/>
                <w:szCs w:val="18"/>
                <w:rFonts w:ascii="Arial" w:hAnsi="Arial" w:cs="Noto Naskh Arabic"/>
              </w:rPr>
              <w:t xml:space="preserve">−10.78 (−12.73, −8.83)</w:t>
            </w:r>
          </w:p>
        </w:tc>
        <w:tc>
          <w:tcPr/>
          <w:p>
            <w:pPr>
              <w:jc w:val="left"/>
              <w:spacing w:after="110" w:line="330" w:lineRule="auto"/>
            </w:pPr>
            <w:r>
              <w:rPr>
                <w:sz w:val="18"/>
                <w:szCs w:val="18"/>
                <w:rFonts w:ascii="Arial" w:hAnsi="Arial" w:cs="Noto Naskh Arabic"/>
              </w:rPr>
              <w:t xml:space="preserve">−1.92 (−4.10, 0.26)</w:t>
            </w:r>
          </w:p>
        </w:tc>
      </w:tr>
      <w:tr>
        <w:tc>
          <w:tcPr/>
          <w:p>
            <w:pPr>
              <w:jc w:val="left"/>
              <w:spacing w:after="110" w:line="330" w:lineRule="auto"/>
            </w:pPr>
            <w:r>
              <w:rPr>
                <w:sz w:val="18"/>
                <w:szCs w:val="18"/>
                <w:rFonts w:ascii="Arial" w:hAnsi="Arial" w:cs="Noto Naskh Arabic"/>
              </w:rPr>
              <w:t xml:space="preserve">Analgesic use</w:t>
            </w:r>
          </w:p>
        </w:tc>
        <w:tc>
          <w:tcPr/>
          <w:p>
            <w:pPr>
              <w:jc w:val="left"/>
              <w:spacing w:after="110" w:line="330" w:lineRule="auto"/>
            </w:pPr>
            <w:r>
              <w:rPr>
                <w:sz w:val="18"/>
                <w:szCs w:val="18"/>
                <w:rFonts w:ascii="Arial" w:hAnsi="Arial" w:cs="Noto Naskh Arabic"/>
              </w:rPr>
              <w:t xml:space="preserve">5.02 (2.64)</w:t>
            </w:r>
          </w:p>
        </w:tc>
        <w:tc>
          <w:tcPr/>
          <w:p>
            <w:pPr>
              <w:jc w:val="left"/>
              <w:spacing w:after="110" w:line="330" w:lineRule="auto"/>
            </w:pPr>
            <w:r>
              <w:rPr>
                <w:sz w:val="18"/>
                <w:szCs w:val="18"/>
                <w:rFonts w:ascii="Arial" w:hAnsi="Arial" w:cs="Noto Naskh Arabic"/>
              </w:rPr>
              <w:t xml:space="preserve">5.65 (2.55)</w:t>
            </w:r>
          </w:p>
        </w:tc>
        <w:tc>
          <w:tcPr/>
          <w:p>
            <w:pPr>
              <w:jc w:val="left"/>
              <w:spacing w:after="110" w:line="330" w:lineRule="auto"/>
            </w:pPr>
            <w:r>
              <w:rPr>
                <w:sz w:val="18"/>
                <w:szCs w:val="18"/>
                <w:rFonts w:ascii="Arial" w:hAnsi="Arial" w:cs="Noto Naskh Arabic"/>
              </w:rPr>
              <w:t xml:space="preserve">12.06 (4.25)</w:t>
            </w:r>
          </w:p>
        </w:tc>
        <w:tc>
          <w:tcPr/>
          <w:p>
            <w:pPr>
              <w:jc w:val="left"/>
              <w:spacing w:after="110" w:line="330" w:lineRule="auto"/>
            </w:pPr>
            <w:r>
              <w:rPr>
                <w:sz w:val="18"/>
                <w:szCs w:val="18"/>
                <w:rFonts w:ascii="Arial" w:hAnsi="Arial" w:cs="Noto Naskh Arabic"/>
              </w:rPr>
              <w:t xml:space="preserve">−7.04 (−8.94, −5.14)</w:t>
            </w:r>
          </w:p>
        </w:tc>
        <w:tc>
          <w:tcPr/>
          <w:p>
            <w:pPr>
              <w:jc w:val="left"/>
              <w:spacing w:after="110" w:line="330" w:lineRule="auto"/>
            </w:pPr>
            <w:r>
              <w:rPr>
                <w:sz w:val="18"/>
                <w:szCs w:val="18"/>
                <w:rFonts w:ascii="Arial" w:hAnsi="Arial" w:cs="Noto Naskh Arabic"/>
              </w:rPr>
              <w:t xml:space="preserve">−6.41 (−8.31, −4.51)</w:t>
            </w:r>
          </w:p>
        </w:tc>
        <w:tc>
          <w:tcPr/>
          <w:p>
            <w:pPr>
              <w:jc w:val="left"/>
              <w:spacing w:after="110" w:line="330" w:lineRule="auto"/>
            </w:pPr>
            <w:r>
              <w:rPr>
                <w:sz w:val="18"/>
                <w:szCs w:val="18"/>
                <w:rFonts w:ascii="Arial" w:hAnsi="Arial" w:cs="Noto Naskh Arabic"/>
              </w:rPr>
              <w:t xml:space="preserve">−0.63 (−2.03, 0.77)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16.77 (5.08)</w:t>
            </w:r>
          </w:p>
        </w:tc>
        <w:tc>
          <w:tcPr/>
          <w:p>
            <w:pPr>
              <w:jc w:val="left"/>
              <w:spacing w:after="110" w:line="330" w:lineRule="auto"/>
            </w:pPr>
            <w:r>
              <w:rPr>
                <w:sz w:val="18"/>
                <w:szCs w:val="18"/>
                <w:rFonts w:ascii="Arial" w:hAnsi="Arial" w:cs="Noto Naskh Arabic"/>
              </w:rPr>
              <w:t xml:space="preserve">14.87 (5.34)</w:t>
            </w:r>
          </w:p>
        </w:tc>
        <w:tc>
          <w:tcPr/>
          <w:p>
            <w:pPr>
              <w:jc w:val="left"/>
              <w:spacing w:after="110" w:line="330" w:lineRule="auto"/>
            </w:pPr>
            <w:r>
              <w:rPr>
                <w:sz w:val="18"/>
                <w:szCs w:val="18"/>
                <w:rFonts w:ascii="Arial" w:hAnsi="Arial" w:cs="Noto Naskh Arabic"/>
              </w:rPr>
              <w:t xml:space="preserve">24.16 (4.23)</w:t>
            </w:r>
          </w:p>
        </w:tc>
        <w:tc>
          <w:tcPr/>
          <w:p>
            <w:pPr>
              <w:jc w:val="left"/>
              <w:spacing w:after="110" w:line="330" w:lineRule="auto"/>
            </w:pPr>
            <w:r>
              <w:rPr>
                <w:sz w:val="18"/>
                <w:szCs w:val="18"/>
                <w:rFonts w:ascii="Arial" w:hAnsi="Arial" w:cs="Noto Naskh Arabic"/>
              </w:rPr>
              <w:t xml:space="preserve">−7.39 (−9.90, −4.88)</w:t>
            </w:r>
          </w:p>
        </w:tc>
        <w:tc>
          <w:tcPr/>
          <w:p>
            <w:pPr>
              <w:jc w:val="left"/>
              <w:spacing w:after="110" w:line="330" w:lineRule="auto"/>
            </w:pPr>
            <w:r>
              <w:rPr>
                <w:sz w:val="18"/>
                <w:szCs w:val="18"/>
                <w:rFonts w:ascii="Arial" w:hAnsi="Arial" w:cs="Noto Naskh Arabic"/>
              </w:rPr>
              <w:t xml:space="preserve">−9.29 (−11.91, −6.67)</w:t>
            </w:r>
          </w:p>
        </w:tc>
        <w:tc>
          <w:tcPr/>
          <w:p>
            <w:pPr>
              <w:jc w:val="left"/>
              <w:spacing w:after="110" w:line="330" w:lineRule="auto"/>
            </w:pPr>
            <w:r>
              <w:rPr>
                <w:sz w:val="18"/>
                <w:szCs w:val="18"/>
                <w:rFonts w:ascii="Arial" w:hAnsi="Arial" w:cs="Noto Naskh Arabic"/>
              </w:rPr>
              <w:t xml:space="preserve">1.90 (−0.92, 4.72)</w:t>
            </w:r>
          </w:p>
        </w:tc>
      </w:tr>
    </w:tbl>
    <w:p>
      <w:pPr>
        <w:jc w:val="left"/>
        <w:spacing w:after="110" w:line="330" w:lineRule="auto"/>
      </w:pPr>
      <w:r>
        <w:rPr>
          <w:sz w:val="22"/>
          <w:szCs w:val="22"/>
          <w:rFonts w:ascii="Arial" w:hAnsi="Arial" w:cs="Noto Naskh Arabic"/>
        </w:rPr>
        <w:t xml:space="preserve">These normal-theory endpoint intervals do not replace baseline-adjusted models and should not be paired with Mann–Whitney p-values as if they estimated the same parameter. Insert adjusted estimates and multiplicity-controlled results after reanalysis.</w:t>
      </w:r>
    </w:p>
    <w:p>
      <w:pPr>
        <w:jc w:val="left"/>
        <w:spacing w:after="110" w:line="330" w:lineRule="auto"/>
      </w:pPr>
      <w:r>
        <w:rPr>
          <w:sz w:val="22"/>
          <w:szCs w:val="22"/>
          <w:rFonts w:ascii="Arial" w:hAnsi="Arial" w:cs="Noto Naskh Arabic"/>
        </w:rPr>
        <w:t xml:space="preserve">Do not assign a HIT-6 category to a group mean; report individual category transitions if clinically relevant.</w:t>
      </w:r>
    </w:p>
    <w:p>
      <w:pPr>
        <w:pStyle w:val="Heading3"/>
        <w:jc w:val="left"/>
        <w:spacing w:after="110" w:line="330" w:lineRule="auto"/>
        <w:keepNext/>
      </w:pPr>
      <w:r>
        <w:rPr>
          <w:b/>
          <w:sz w:val="20"/>
          <w:szCs w:val="20"/>
          <w:rFonts w:ascii="Arial" w:hAnsi="Arial" w:cs="Noto Naskh Arabic"/>
        </w:rPr>
        <w:t xml:space="preserve">3.5 Treatment exposure and adherence</w:t>
      </w:r>
    </w:p>
    <w:p>
      <w:pPr>
        <w:jc w:val="left"/>
        <w:spacing w:after="110" w:line="330" w:lineRule="auto"/>
      </w:pPr>
      <w:r>
        <w:rPr>
          <w:sz w:val="22"/>
          <w:szCs w:val="22"/>
          <w:rFonts w:ascii="Arial" w:hAnsi="Arial" w:cs="Noto Naskh Arabic"/>
        </w:rPr>
        <w:t xml:space="preserve">Report planned and received sessions by group:</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Exposure measure</w:t>
            </w:r>
          </w:p>
        </w:tc>
        <w:tc>
          <w:tcPr>
            <w:shd w:fill="E9EFF6"/>
          </w:tcPr>
          <w:p>
            <w:pPr>
              <w:jc w:val="left"/>
              <w:spacing w:after="110" w:line="330" w:lineRule="auto"/>
            </w:pPr>
            <w:r>
              <w:rPr>
                <w:b/>
                <w:sz w:val="18"/>
                <w:szCs w:val="18"/>
                <w:rFonts w:ascii="Arial" w:hAnsi="Arial" w:cs="Noto Naskh Arabic"/>
              </w:rPr>
              <w:t xml:space="preserve">Supraorbital</w:t>
            </w:r>
          </w:p>
        </w:tc>
        <w:tc>
          <w:tcPr>
            <w:shd w:fill="E9EFF6"/>
          </w:tcPr>
          <w:p>
            <w:pPr>
              <w:jc w:val="left"/>
              <w:spacing w:after="110" w:line="330" w:lineRule="auto"/>
            </w:pPr>
            <w:r>
              <w:rPr>
                <w:b/>
                <w:sz w:val="18"/>
                <w:szCs w:val="18"/>
                <w:rFonts w:ascii="Arial" w:hAnsi="Arial" w:cs="Noto Naskh Arabic"/>
              </w:rPr>
              <w:t xml:space="preserve">Infraorbital</w:t>
            </w:r>
          </w:p>
        </w:tc>
        <w:tc>
          <w:tcPr>
            <w:shd w:fill="E9EFF6"/>
          </w:tcPr>
          <w:p>
            <w:pPr>
              <w:jc w:val="left"/>
              <w:spacing w:after="110" w:line="330" w:lineRule="auto"/>
            </w:pPr>
            <w:r>
              <w:rPr>
                <w:b/>
                <w:sz w:val="18"/>
                <w:szCs w:val="18"/>
                <w:rFonts w:ascii="Arial" w:hAnsi="Arial" w:cs="Noto Naskh Arabic"/>
              </w:rPr>
              <w:t xml:space="preserve">Sham</w:t>
            </w:r>
          </w:p>
        </w:tc>
      </w:tr>
      <w:tr>
        <w:tc>
          <w:tcPr/>
          <w:p>
            <w:pPr>
              <w:jc w:val="left"/>
              <w:spacing w:after="110" w:line="330" w:lineRule="auto"/>
            </w:pPr>
            <w:r>
              <w:rPr>
                <w:sz w:val="18"/>
                <w:szCs w:val="18"/>
                <w:rFonts w:ascii="Arial" w:hAnsi="Arial" w:cs="Noto Naskh Arabic"/>
              </w:rPr>
              <w:t xml:space="preserve">Participants receiving ≥1 session</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Sessions received, median (IQR)</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Completed all 24 sessions, n (%)</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Delivered current, mA, median (IQR)</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0</w:t>
            </w:r>
          </w:p>
        </w:tc>
      </w:tr>
      <w:tr>
        <w:tc>
          <w:tcPr/>
          <w:p>
            <w:pPr>
              <w:jc w:val="left"/>
              <w:spacing w:after="110" w:line="330" w:lineRule="auto"/>
            </w:pPr>
            <w:r>
              <w:rPr>
                <w:sz w:val="18"/>
                <w:szCs w:val="18"/>
                <w:rFonts w:ascii="Arial" w:hAnsi="Arial" w:cs="Noto Naskh Arabic"/>
              </w:rPr>
              <w:t xml:space="preserve">Protocol deviations, n</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bl>
    <w:p>
      <w:pPr>
        <w:pStyle w:val="Heading3"/>
        <w:jc w:val="left"/>
        <w:spacing w:after="110" w:line="330" w:lineRule="auto"/>
        <w:keepNext/>
      </w:pPr>
      <w:r>
        <w:rPr>
          <w:b/>
          <w:sz w:val="20"/>
          <w:szCs w:val="20"/>
          <w:rFonts w:ascii="Arial" w:hAnsi="Arial" w:cs="Noto Naskh Arabic"/>
        </w:rPr>
        <w:t xml:space="preserve">3.6 Masking</w:t>
      </w:r>
    </w:p>
    <w:p>
      <w:pPr>
        <w:jc w:val="left"/>
        <w:spacing w:after="110" w:line="330" w:lineRule="auto"/>
      </w:pPr>
      <w:r>
        <w:rPr>
          <w:sz w:val="22"/>
          <w:szCs w:val="22"/>
          <w:rFonts w:ascii="Arial" w:hAnsi="Arial" w:cs="Noto Naskh Arabic"/>
        </w:rPr>
        <w:t xml:space="preserve">Replace the summary percentages with the complete assigned-group by guessed-group table and a valid blinding index. State:</w:t>
      </w:r>
    </w:p>
    <w:p>
      <w:pPr>
        <w:bidi/>
        <w:jc w:val="right"/>
        <w:spacing w:after="110" w:line="330" w:lineRule="auto"/>
      </w:pPr>
      <w:r>
        <w:rPr>
          <w:sz w:val="21"/>
          <w:szCs w:val="21"/>
          <w:rFonts w:ascii="Arial" w:hAnsi="Arial" w:cs="Noto Naskh Arabic"/>
        </w:rPr>
        <w:t xml:space="preserve">نکته: Because sham delivered no current and active treatment commonly produced paresthesia, participant masking was not considered established.</w:t>
      </w:r>
    </w:p>
    <w:p>
      <w:pPr>
        <w:pStyle w:val="Heading3"/>
        <w:jc w:val="left"/>
        <w:spacing w:after="110" w:line="330" w:lineRule="auto"/>
        <w:keepNext/>
      </w:pPr>
      <w:r>
        <w:rPr>
          <w:b/>
          <w:sz w:val="20"/>
          <w:szCs w:val="20"/>
          <w:rFonts w:ascii="Arial" w:hAnsi="Arial" w:cs="Noto Naskh Arabic"/>
        </w:rPr>
        <w:t xml:space="preserve">3.7 Adverse events</w:t>
      </w:r>
    </w:p>
    <w:p>
      <w:pPr>
        <w:jc w:val="left"/>
        <w:spacing w:after="110" w:line="330" w:lineRule="auto"/>
      </w:pPr>
      <w:r>
        <w:rPr>
          <w:sz w:val="22"/>
          <w:szCs w:val="22"/>
          <w:rFonts w:ascii="Arial" w:hAnsi="Arial" w:cs="Noto Naskh Arabic"/>
        </w:rPr>
        <w:t xml:space="preserve">The supplied report identified itching in 9/28 participants in the supraorbital group and 8/27 in the infraorbital group, and tingling/paresthesia in 12/28 and 11/27, respectively. Verify whether participants could report more than one event and provide sham-arm local-event counts.</w:t>
      </w:r>
    </w:p>
    <w:p>
      <w:pPr>
        <w:jc w:val="left"/>
        <w:spacing w:after="110" w:line="330" w:lineRule="auto"/>
      </w:pPr>
      <w:r>
        <w:rPr>
          <w:sz w:val="22"/>
          <w:szCs w:val="22"/>
          <w:rFonts w:ascii="Arial" w:hAnsi="Arial" w:cs="Noto Naskh Arabic"/>
        </w:rPr>
        <w:t xml:space="preserve">No serious adverse event was detected. This observation does not establish safety; the approximate rule-of-three upper 95% bound for an unobserved serious-event proportion is 3.6% across 83 participants and approximately 11% in each active arm.</w:t>
      </w:r>
    </w:p>
    <w:p>
      <w:pPr>
        <w:jc w:val="left"/>
        <w:spacing w:after="110" w:line="330" w:lineRule="auto"/>
      </w:pPr>
      <w:r>
        <w:rPr>
          <w:sz w:val="22"/>
          <w:szCs w:val="22"/>
          <w:rFonts w:ascii="Arial" w:hAnsi="Arial" w:cs="Noto Naskh Arabic"/>
        </w:rPr>
        <w:t xml:space="preserve">Report all events in a CONSORT harms table with severity, duration, relatedness, and withdrawals.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4. Discussion</w:t>
      </w:r>
    </w:p>
    <w:p>
      <w:pPr>
        <w:pStyle w:val="Heading3"/>
        <w:jc w:val="left"/>
        <w:spacing w:after="110" w:line="330" w:lineRule="auto"/>
        <w:keepNext/>
      </w:pPr>
      <w:r>
        <w:rPr>
          <w:b/>
          <w:sz w:val="20"/>
          <w:szCs w:val="20"/>
          <w:rFonts w:ascii="Arial" w:hAnsi="Arial" w:cs="Noto Naskh Arabic"/>
        </w:rPr>
        <w:t xml:space="preserve">4.1 Principal findings</w:t>
      </w:r>
    </w:p>
    <w:p>
      <w:pPr>
        <w:jc w:val="left"/>
        <w:spacing w:after="110" w:line="330" w:lineRule="auto"/>
      </w:pPr>
      <w:r>
        <w:rPr>
          <w:sz w:val="22"/>
          <w:szCs w:val="22"/>
          <w:rFonts w:ascii="Arial" w:hAnsi="Arial" w:cs="Noto Naskh Arabic"/>
        </w:rPr>
        <w:t xml:space="preserve">The aggregate data showed lower reported migraine attack frequency at three months in both active-stimulation groups than in the inert sham group. Similar descriptive patterns occurred for pain intensity, disability, headache impact, and medication-related measures. These findings represent a preliminary signal rather than confirmatory evidence because the primary analysis requires baseline-adjusted participant-level reanalysis and successful participant masking was not established.</w:t>
      </w:r>
    </w:p>
    <w:p>
      <w:pPr>
        <w:jc w:val="left"/>
        <w:spacing w:after="110" w:line="330" w:lineRule="auto"/>
      </w:pPr>
      <w:r>
        <w:rPr>
          <w:sz w:val="22"/>
          <w:szCs w:val="22"/>
          <w:rFonts w:ascii="Arial" w:hAnsi="Arial" w:cs="Noto Naskh Arabic"/>
        </w:rPr>
        <w:t xml:space="preserve">The active-site contrast was imprecise and the study was not designed for equivalence or non-inferiority. Therefore, the absence of a statistically significant difference must not be interpreted as equivalence, interchangeability, or evidence that site selection can be based solely on preference.</w:t>
      </w:r>
    </w:p>
    <w:p>
      <w:pPr>
        <w:pStyle w:val="Heading3"/>
        <w:jc w:val="left"/>
        <w:spacing w:after="110" w:line="330" w:lineRule="auto"/>
        <w:keepNext/>
      </w:pPr>
      <w:r>
        <w:rPr>
          <w:b/>
          <w:sz w:val="20"/>
          <w:szCs w:val="20"/>
          <w:rFonts w:ascii="Arial" w:hAnsi="Arial" w:cs="Noto Naskh Arabic"/>
        </w:rPr>
        <w:t xml:space="preserve">4.2 Relation to previous evidence</w:t>
      </w:r>
    </w:p>
    <w:p>
      <w:pPr>
        <w:jc w:val="left"/>
        <w:spacing w:after="110" w:line="330" w:lineRule="auto"/>
      </w:pPr>
      <w:r>
        <w:rPr>
          <w:sz w:val="22"/>
          <w:szCs w:val="22"/>
          <w:rFonts w:ascii="Arial" w:hAnsi="Arial" w:cs="Noto Naskh Arabic"/>
        </w:rPr>
        <w:t xml:space="preserve">One small sham-controlled trial and subsequent evidence syntheses support a possible preventive effect of device-specific external trigeminal stimulation protocols [15,26,44,46,55]. However, pooled estimates are based on few heterogeneous studies, and one later synthesis found no significant benefit for several eTNS monotherapy outcomes [30]. Current IHS guidance makes only conditional recommendations for named devices and does not endorse generic or infraorbital TENS [47]. These results cannot be transferred directly to the Novin device and protocol used here because waveform, electrode configuration, delivered dose, target, and treatment schedule differ.</w:t>
      </w:r>
    </w:p>
    <w:p>
      <w:pPr>
        <w:jc w:val="left"/>
        <w:spacing w:after="110" w:line="330" w:lineRule="auto"/>
      </w:pPr>
      <w:r>
        <w:rPr>
          <w:sz w:val="22"/>
          <w:szCs w:val="22"/>
          <w:rFonts w:ascii="Arial" w:hAnsi="Arial" w:cs="Noto Naskh Arabic"/>
        </w:rPr>
        <w:t xml:space="preserve">A 2026 open-label active-controlled trial directly compared supraorbital tSNS with low-dose topiramate [56]. The tSNS arm had fewer adverse events but a lower responder rate (20.6% vs 33.9%) and did not meet the prespecified non-inferiority criterion. This result provides contemporary comparative context but does not validate the present protocol because the device, comparator, masking, and stimulation schedule differed.</w:t>
      </w:r>
    </w:p>
    <w:p>
      <w:pPr>
        <w:jc w:val="left"/>
        <w:spacing w:after="110" w:line="330" w:lineRule="auto"/>
      </w:pPr>
      <w:r>
        <w:rPr>
          <w:sz w:val="22"/>
          <w:szCs w:val="22"/>
          <w:rFonts w:ascii="Arial" w:hAnsi="Arial" w:cs="Noto Naskh Arabic"/>
        </w:rPr>
        <w:t xml:space="preserve">Direct evidence supporting surface infraorbital TENS for migraine is lacking. The combined nerve-block study [23] is indirect, and a contemporary peripheral-nerve-stimulation review likewise identifies stronger evidence for supraorbital and occipital targets than for infraorbital stimulation in migraine [54]. Reference 24 concerns implanted occipital plus supraorbital—not infraorbital—stimulation. The current findings may justify a rigorously masked, site-matched trial rather than establish clinical effectiveness.</w:t>
      </w:r>
    </w:p>
    <w:p>
      <w:pPr>
        <w:jc w:val="left"/>
        <w:spacing w:after="110" w:line="330" w:lineRule="auto"/>
      </w:pPr>
      <w:r>
        <w:rPr>
          <w:sz w:val="22"/>
          <w:szCs w:val="22"/>
          <w:rFonts w:ascii="Arial" w:hAnsi="Arial" w:cs="Noto Naskh Arabic"/>
        </w:rPr>
        <w:t xml:space="preserve">Avoid comparing this study’s percentage change in mean pain score with another study’s ≥50% responder proportion because these are different estimands.</w:t>
      </w:r>
    </w:p>
    <w:p>
      <w:pPr>
        <w:pStyle w:val="Heading3"/>
        <w:jc w:val="left"/>
        <w:spacing w:after="110" w:line="330" w:lineRule="auto"/>
        <w:keepNext/>
      </w:pPr>
      <w:r>
        <w:rPr>
          <w:b/>
          <w:sz w:val="20"/>
          <w:szCs w:val="20"/>
          <w:rFonts w:ascii="Arial" w:hAnsi="Arial" w:cs="Noto Naskh Arabic"/>
        </w:rPr>
        <w:t xml:space="preserve">4.3 Clinical interpretation</w:t>
      </w:r>
    </w:p>
    <w:p>
      <w:pPr>
        <w:jc w:val="left"/>
        <w:spacing w:after="110" w:line="330" w:lineRule="auto"/>
      </w:pPr>
      <w:r>
        <w:rPr>
          <w:sz w:val="22"/>
          <w:szCs w:val="22"/>
          <w:rFonts w:ascii="Arial" w:hAnsi="Arial" w:cs="Noto Naskh Arabic"/>
        </w:rPr>
        <w:t xml:space="preserve">The intervention required 24 supervised clinic sessions in four weeks, and 54 of 137 screened individuals did not proceed because they could not commit to that schedule. Feasibility and effectiveness in routine care may therefore differ from efficacy among the selected participants. Treatment burden, cost, travel, durability, and comparison with established preventive options require evaluation.</w:t>
      </w:r>
    </w:p>
    <w:p>
      <w:pPr>
        <w:jc w:val="left"/>
        <w:spacing w:after="110" w:line="330" w:lineRule="auto"/>
      </w:pPr>
      <w:r>
        <w:rPr>
          <w:sz w:val="22"/>
          <w:szCs w:val="22"/>
          <w:rFonts w:ascii="Arial" w:hAnsi="Arial" w:cs="Noto Naskh Arabic"/>
        </w:rPr>
        <w:t xml:space="preserve">The inert sham did not reproduce sensory stimulation. Because efficacy outcomes were participant-reported, expectancy and performance effects may account for part of the observed active–sham differences. The present data do not support an acute-treatment claim.</w:t>
      </w:r>
    </w:p>
    <w:p>
      <w:pPr>
        <w:pStyle w:val="Heading3"/>
        <w:jc w:val="left"/>
        <w:spacing w:after="110" w:line="330" w:lineRule="auto"/>
        <w:keepNext/>
      </w:pPr>
      <w:r>
        <w:rPr>
          <w:b/>
          <w:sz w:val="20"/>
          <w:szCs w:val="20"/>
          <w:rFonts w:ascii="Arial" w:hAnsi="Arial" w:cs="Noto Naskh Arabic"/>
        </w:rPr>
        <w:t xml:space="preserve">4.4 Strengths and limitations</w:t>
      </w:r>
    </w:p>
    <w:p>
      <w:pPr>
        <w:jc w:val="left"/>
        <w:spacing w:after="110" w:line="330" w:lineRule="auto"/>
      </w:pPr>
      <w:r>
        <w:rPr>
          <w:sz w:val="22"/>
          <w:szCs w:val="22"/>
          <w:rFonts w:ascii="Arial" w:hAnsi="Arial" w:cs="Noto Naskh Arabic"/>
        </w:rPr>
        <w:t xml:space="preserve">Strengths include a three-arm controlled design, assessment of two trigeminal sites, multidimensional outcomes, and reported complete follow-up after allocation.</w:t>
      </w:r>
    </w:p>
    <w:p>
      <w:pPr>
        <w:jc w:val="left"/>
        <w:spacing w:after="110" w:line="330" w:lineRule="auto"/>
      </w:pPr>
      <w:r>
        <w:rPr>
          <w:sz w:val="22"/>
          <w:szCs w:val="22"/>
          <w:rFonts w:ascii="Arial" w:hAnsi="Arial" w:cs="Noto Naskh Arabic"/>
        </w:rPr>
        <w:t xml:space="preserve">The study has substantial limitations:</w:t>
      </w:r>
    </w:p>
    <w:p>
      <w:pPr>
        <w:jc w:val="left"/>
        <w:spacing w:after="110" w:line="330" w:lineRule="auto"/>
      </w:pPr>
      <w:r>
        <w:rPr>
          <w:sz w:val="22"/>
          <w:szCs w:val="22"/>
          <w:rFonts w:ascii="Arial" w:hAnsi="Arial" w:cs="Noto Naskh Arabic"/>
        </w:rPr>
        <w:t xml:space="preserve">1. Ethics approval and prospective registration are not verifiable until identifiers, dates, and records are supplied.</w:t>
      </w:r>
    </w:p>
    <w:p>
      <w:pPr>
        <w:jc w:val="left"/>
        <w:spacing w:after="110" w:line="330" w:lineRule="auto"/>
      </w:pPr>
      <w:r>
        <w:rPr>
          <w:sz w:val="22"/>
          <w:szCs w:val="22"/>
          <w:rFonts w:ascii="Arial" w:hAnsi="Arial" w:cs="Noto Naskh Arabic"/>
        </w:rPr>
        <w:t xml:space="preserve">2. The reported fixed block size of four is incompatible with a balanced 1:1:1 permuted-block design and requires source verification.</w:t>
      </w:r>
    </w:p>
    <w:p>
      <w:pPr>
        <w:jc w:val="left"/>
        <w:spacing w:after="110" w:line="330" w:lineRule="auto"/>
      </w:pPr>
      <w:r>
        <w:rPr>
          <w:sz w:val="22"/>
          <w:szCs w:val="22"/>
          <w:rFonts w:ascii="Arial" w:hAnsi="Arial" w:cs="Noto Naskh Arabic"/>
        </w:rPr>
        <w:t xml:space="preserve">3. The original sample-size basis and any post-initiation changes to the primary outcome or analysis are unclear.</w:t>
      </w:r>
    </w:p>
    <w:p>
      <w:pPr>
        <w:jc w:val="left"/>
        <w:spacing w:after="110" w:line="330" w:lineRule="auto"/>
      </w:pPr>
      <w:r>
        <w:rPr>
          <w:sz w:val="22"/>
          <w:szCs w:val="22"/>
          <w:rFonts w:ascii="Arial" w:hAnsi="Arial" w:cs="Noto Naskh Arabic"/>
        </w:rPr>
        <w:t xml:space="preserve">4. The primary analysis did not adjust for baseline and relied heavily on separate within-group tests.</w:t>
      </w:r>
    </w:p>
    <w:p>
      <w:pPr>
        <w:jc w:val="left"/>
        <w:spacing w:after="110" w:line="330" w:lineRule="auto"/>
      </w:pPr>
      <w:r>
        <w:rPr>
          <w:sz w:val="22"/>
          <w:szCs w:val="22"/>
          <w:rFonts w:ascii="Arial" w:hAnsi="Arial" w:cs="Noto Naskh Arabic"/>
        </w:rPr>
        <w:t xml:space="preserve">5. The inert sham probably compromised sensory masking, and all efficacy outcomes were participant-reported.</w:t>
      </w:r>
    </w:p>
    <w:p>
      <w:pPr>
        <w:jc w:val="left"/>
        <w:spacing w:after="110" w:line="330" w:lineRule="auto"/>
      </w:pPr>
      <w:r>
        <w:rPr>
          <w:sz w:val="22"/>
          <w:szCs w:val="22"/>
          <w:rFonts w:ascii="Arial" w:hAnsi="Arial" w:cs="Noto Naskh Arabic"/>
        </w:rPr>
        <w:t xml:space="preserve">6. Sham placement matched only the supraorbital site.</w:t>
      </w:r>
    </w:p>
    <w:p>
      <w:pPr>
        <w:jc w:val="left"/>
        <w:spacing w:after="110" w:line="330" w:lineRule="auto"/>
      </w:pPr>
      <w:r>
        <w:rPr>
          <w:sz w:val="22"/>
          <w:szCs w:val="22"/>
          <w:rFonts w:ascii="Arial" w:hAnsi="Arial" w:cs="Noto Naskh Arabic"/>
        </w:rPr>
        <w:t xml:space="preserve">7. The study was not powered for equivalence or non-inferiority between active sites.</w:t>
      </w:r>
    </w:p>
    <w:p>
      <w:pPr>
        <w:jc w:val="left"/>
        <w:spacing w:after="110" w:line="330" w:lineRule="auto"/>
      </w:pPr>
      <w:r>
        <w:rPr>
          <w:sz w:val="22"/>
          <w:szCs w:val="22"/>
          <w:rFonts w:ascii="Arial" w:hAnsi="Arial" w:cs="Noto Naskh Arabic"/>
        </w:rPr>
        <w:t xml:space="preserve">8. Exclusion of 54 screened individuals based on ability to attend restricts applicability.</w:t>
      </w:r>
    </w:p>
    <w:p>
      <w:pPr>
        <w:jc w:val="left"/>
        <w:spacing w:after="110" w:line="330" w:lineRule="auto"/>
      </w:pPr>
      <w:r>
        <w:rPr>
          <w:sz w:val="22"/>
          <w:szCs w:val="22"/>
          <w:rFonts w:ascii="Arial" w:hAnsi="Arial" w:cs="Noto Naskh Arabic"/>
        </w:rPr>
        <w:t xml:space="preserve">9. Attack definition, diary windows, and derivation of non-integer monthly frequencies require clarification.</w:t>
      </w:r>
    </w:p>
    <w:p>
      <w:pPr>
        <w:jc w:val="left"/>
        <w:spacing w:after="110" w:line="330" w:lineRule="auto"/>
      </w:pPr>
      <w:r>
        <w:rPr>
          <w:sz w:val="22"/>
          <w:szCs w:val="22"/>
          <w:rFonts w:ascii="Arial" w:hAnsi="Arial" w:cs="Noto Naskh Arabic"/>
        </w:rPr>
        <w:t xml:space="preserve">10. MIDAS at one month overlaps the pretreatment recall period; VAS/NRS and MPQ-5 measurement properties were incompletely specified.</w:t>
      </w:r>
    </w:p>
    <w:p>
      <w:pPr>
        <w:jc w:val="left"/>
        <w:spacing w:after="110" w:line="330" w:lineRule="auto"/>
      </w:pPr>
      <w:r>
        <w:rPr>
          <w:sz w:val="22"/>
          <w:szCs w:val="22"/>
          <w:rFonts w:ascii="Arial" w:hAnsi="Arial" w:cs="Noto Naskh Arabic"/>
        </w:rPr>
        <w:t xml:space="preserve">11. Clinical baseline characteristics and concomitant-treatment data were insufficient.</w:t>
      </w:r>
    </w:p>
    <w:p>
      <w:pPr>
        <w:jc w:val="left"/>
        <w:spacing w:after="110" w:line="330" w:lineRule="auto"/>
      </w:pPr>
      <w:r>
        <w:rPr>
          <w:sz w:val="22"/>
          <w:szCs w:val="22"/>
          <w:rFonts w:ascii="Arial" w:hAnsi="Arial" w:cs="Noto Naskh Arabic"/>
        </w:rPr>
        <w:t xml:space="preserve">12. Open-ended adverse-event ascertainment may have underdetected harms.</w:t>
      </w:r>
    </w:p>
    <w:p>
      <w:pPr>
        <w:jc w:val="left"/>
        <w:spacing w:after="110" w:line="330" w:lineRule="auto"/>
      </w:pPr>
      <w:r>
        <w:rPr>
          <w:sz w:val="22"/>
          <w:szCs w:val="22"/>
          <w:rFonts w:ascii="Arial" w:hAnsi="Arial" w:cs="Noto Naskh Arabic"/>
        </w:rPr>
        <w:t xml:space="preserve">13. The single-center sample was small and predominantly female, with only three months of follow-up.</w:t>
      </w:r>
    </w:p>
    <w:p>
      <w:pPr>
        <w:jc w:val="left"/>
        <w:spacing w:after="110" w:line="330" w:lineRule="auto"/>
      </w:pPr>
      <w:r>
        <w:rPr>
          <w:sz w:val="22"/>
          <w:szCs w:val="22"/>
          <w:rFonts w:ascii="Arial" w:hAnsi="Arial" w:cs="Noto Naskh Arabic"/>
        </w:rPr>
        <w:t xml:space="preserve">The previously reported analysis assigning nonrandomized individuals to sham was invalid and has been removed.</w:t>
      </w:r>
    </w:p>
    <w:p>
      <w:pPr>
        <w:pStyle w:val="Heading3"/>
        <w:jc w:val="left"/>
        <w:spacing w:after="110" w:line="330" w:lineRule="auto"/>
        <w:keepNext/>
      </w:pPr>
      <w:r>
        <w:rPr>
          <w:b/>
          <w:sz w:val="20"/>
          <w:szCs w:val="20"/>
          <w:rFonts w:ascii="Arial" w:hAnsi="Arial" w:cs="Noto Naskh Arabic"/>
        </w:rPr>
        <w:t xml:space="preserve">4.5 Future research</w:t>
      </w:r>
    </w:p>
    <w:p>
      <w:pPr>
        <w:jc w:val="left"/>
        <w:spacing w:after="110" w:line="330" w:lineRule="auto"/>
      </w:pPr>
      <w:r>
        <w:rPr>
          <w:sz w:val="22"/>
          <w:szCs w:val="22"/>
          <w:rFonts w:ascii="Arial" w:hAnsi="Arial" w:cs="Noto Naskh Arabic"/>
        </w:rPr>
        <w:t xml:space="preserve">A definitive study should follow the IHS guideline for neuromodulation-device trials [45] and use a verifiable, prospectively registered protocol and SAP; concealed allocation with suitable variable block sizes; an active sensory sham matched separately to each electrode site; blinded outcome assessment; standard 28-day migraine-day outcomes [52]; validated patient-reported measures; class-specific medication rules; adequate power for the intended contrasts; systematic harms capture [49]; and longer follow-up. A factorial or double-dummy design could separate stimulation-site effects from sham-site and sensory-expectation effects.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5. Conclusions</w:t>
      </w:r>
    </w:p>
    <w:p>
      <w:pPr>
        <w:jc w:val="left"/>
        <w:spacing w:after="110" w:line="330" w:lineRule="auto"/>
      </w:pPr>
      <w:r>
        <w:rPr>
          <w:sz w:val="22"/>
          <w:szCs w:val="22"/>
          <w:rFonts w:ascii="Arial" w:hAnsi="Arial" w:cs="Noto Naskh Arabic"/>
        </w:rPr>
        <w:t xml:space="preserve">Among a selected group able to attend 24 clinic sessions, the reported aggregate data showed fewer self-reported migraine attacks at three months with supraorbital and infraorbital TENS than with an inert sham. These findings are hypothesis-generating. Unverified allocation and registration details, likely compromised participant masking, a site-mismatched sham, outcome and analysis limitations, and inadequate power for the active-site comparison preclude firm conclusions about efficacy, safety, or equivalence. Source-document verification and prespecified participant-level reanalysis are necessary before the findings can support clinical recommendations.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Declarations</w:t>
      </w:r>
    </w:p>
    <w:p>
      <w:pPr>
        <w:pStyle w:val="Heading3"/>
        <w:jc w:val="left"/>
        <w:spacing w:after="110" w:line="330" w:lineRule="auto"/>
        <w:keepNext/>
      </w:pPr>
      <w:r>
        <w:rPr>
          <w:b/>
          <w:sz w:val="20"/>
          <w:szCs w:val="20"/>
          <w:rFonts w:ascii="Arial" w:hAnsi="Arial" w:cs="Noto Naskh Arabic"/>
        </w:rPr>
        <w:t xml:space="preserve">Ethics approval and consent</w:t>
      </w:r>
    </w:p>
    <w:p>
      <w:pPr>
        <w:jc w:val="left"/>
        <w:spacing w:after="110" w:line="330" w:lineRule="auto"/>
      </w:pPr>
      <w:r>
        <w:rPr>
          <w:sz w:val="22"/>
          <w:szCs w:val="22"/>
          <w:rFonts w:ascii="Arial" w:hAnsi="Arial" w:cs="Noto Naskh Arabic"/>
        </w:rPr>
        <w:t xml:space="preserve">[Full committee], approval [identifier], approved [date]. Written informed consent was obtained from all participants.</w:t>
      </w:r>
    </w:p>
    <w:p>
      <w:pPr>
        <w:pStyle w:val="Heading3"/>
        <w:jc w:val="left"/>
        <w:spacing w:after="110" w:line="330" w:lineRule="auto"/>
        <w:keepNext/>
      </w:pPr>
      <w:r>
        <w:rPr>
          <w:b/>
          <w:sz w:val="20"/>
          <w:szCs w:val="20"/>
          <w:rFonts w:ascii="Arial" w:hAnsi="Arial" w:cs="Noto Naskh Arabic"/>
        </w:rPr>
        <w:t xml:space="preserve">Trial registration</w:t>
      </w:r>
    </w:p>
    <w:p>
      <w:pPr>
        <w:jc w:val="left"/>
        <w:spacing w:after="110" w:line="330" w:lineRule="auto"/>
      </w:pPr>
      <w:r>
        <w:rPr>
          <w:sz w:val="22"/>
          <w:szCs w:val="22"/>
          <w:rFonts w:ascii="Arial" w:hAnsi="Arial" w:cs="Noto Naskh Arabic"/>
        </w:rPr>
        <w:t xml:space="preserve">IRCT [identifier], registered [date], [URL]. First enrollment: [date].</w:t>
      </w:r>
    </w:p>
    <w:p>
      <w:pPr>
        <w:pStyle w:val="Heading3"/>
        <w:jc w:val="left"/>
        <w:spacing w:after="110" w:line="330" w:lineRule="auto"/>
        <w:keepNext/>
      </w:pPr>
      <w:r>
        <w:rPr>
          <w:b/>
          <w:sz w:val="20"/>
          <w:szCs w:val="20"/>
          <w:rFonts w:ascii="Arial" w:hAnsi="Arial" w:cs="Noto Naskh Arabic"/>
        </w:rPr>
        <w:t xml:space="preserve">Protocol and statistical analysis plan</w:t>
      </w:r>
    </w:p>
    <w:p>
      <w:pPr>
        <w:jc w:val="left"/>
        <w:spacing w:after="110" w:line="330" w:lineRule="auto"/>
      </w:pPr>
      <w:r>
        <w:rPr>
          <w:sz w:val="22"/>
          <w:szCs w:val="22"/>
          <w:rFonts w:ascii="Arial" w:hAnsi="Arial" w:cs="Noto Naskh Arabic"/>
        </w:rPr>
        <w:t xml:space="preserve">Available at [persistent URL]. Deviations are listed in Supplementary Table S1.</w:t>
      </w:r>
    </w:p>
    <w:p>
      <w:pPr>
        <w:pStyle w:val="Heading3"/>
        <w:jc w:val="left"/>
        <w:spacing w:after="110" w:line="330" w:lineRule="auto"/>
        <w:keepNext/>
      </w:pPr>
      <w:r>
        <w:rPr>
          <w:b/>
          <w:sz w:val="20"/>
          <w:szCs w:val="20"/>
          <w:rFonts w:ascii="Arial" w:hAnsi="Arial" w:cs="Noto Naskh Arabic"/>
        </w:rPr>
        <w:t xml:space="preserve">Funding</w:t>
      </w:r>
    </w:p>
    <w:p>
      <w:pPr>
        <w:jc w:val="left"/>
        <w:spacing w:after="110" w:line="330" w:lineRule="auto"/>
      </w:pPr>
      <w:r>
        <w:rPr>
          <w:sz w:val="22"/>
          <w:szCs w:val="22"/>
          <w:rFonts w:ascii="Arial" w:hAnsi="Arial" w:cs="Noto Naskh Arabic"/>
        </w:rPr>
        <w:t xml:space="preserve">This research received [verify] no specific grant from any funding agency in the public, commercial, or not-for-profit sectors.</w:t>
      </w:r>
    </w:p>
    <w:p>
      <w:pPr>
        <w:pStyle w:val="Heading3"/>
        <w:jc w:val="left"/>
        <w:spacing w:after="110" w:line="330" w:lineRule="auto"/>
        <w:keepNext/>
      </w:pPr>
      <w:r>
        <w:rPr>
          <w:b/>
          <w:sz w:val="20"/>
          <w:szCs w:val="20"/>
          <w:rFonts w:ascii="Arial" w:hAnsi="Arial" w:cs="Noto Naskh Arabic"/>
        </w:rPr>
        <w:t xml:space="preserve">Competing interests</w:t>
      </w:r>
    </w:p>
    <w:p>
      <w:pPr>
        <w:jc w:val="left"/>
        <w:spacing w:after="110" w:line="330" w:lineRule="auto"/>
      </w:pPr>
      <w:r>
        <w:rPr>
          <w:sz w:val="22"/>
          <w:szCs w:val="22"/>
          <w:rFonts w:ascii="Arial" w:hAnsi="Arial" w:cs="Noto Naskh Arabic"/>
        </w:rPr>
        <w:t xml:space="preserve">The authors declare [insert verified declaration].</w:t>
      </w:r>
    </w:p>
    <w:p>
      <w:pPr>
        <w:pStyle w:val="Heading3"/>
        <w:jc w:val="left"/>
        <w:spacing w:after="110" w:line="330" w:lineRule="auto"/>
        <w:keepNext/>
      </w:pPr>
      <w:r>
        <w:rPr>
          <w:b/>
          <w:sz w:val="20"/>
          <w:szCs w:val="20"/>
          <w:rFonts w:ascii="Arial" w:hAnsi="Arial" w:cs="Noto Naskh Arabic"/>
        </w:rPr>
        <w:t xml:space="preserve">Data and code availability</w:t>
      </w:r>
    </w:p>
    <w:p>
      <w:pPr>
        <w:jc w:val="left"/>
        <w:spacing w:after="110" w:line="330" w:lineRule="auto"/>
      </w:pPr>
      <w:r>
        <w:rPr>
          <w:sz w:val="22"/>
          <w:szCs w:val="22"/>
          <w:rFonts w:ascii="Arial" w:hAnsi="Arial" w:cs="Noto Naskh Arabic"/>
        </w:rPr>
        <w:t xml:space="preserve">De-identified participant-level data, the data dictionary, and executable analysis code will be available at [repository] subject to [specific ethical/privacy restrictions]. “Available on reasonable request” should be retained only if repository sharing is not ethically possible and the access process is defined.</w:t>
      </w:r>
    </w:p>
    <w:p>
      <w:pPr>
        <w:pStyle w:val="Heading3"/>
        <w:jc w:val="left"/>
        <w:spacing w:after="110" w:line="330" w:lineRule="auto"/>
        <w:keepNext/>
      </w:pPr>
      <w:r>
        <w:rPr>
          <w:b/>
          <w:sz w:val="20"/>
          <w:szCs w:val="20"/>
          <w:rFonts w:ascii="Arial" w:hAnsi="Arial" w:cs="Noto Naskh Arabic"/>
        </w:rPr>
        <w:t xml:space="preserve">Author contributions</w:t>
      </w:r>
    </w:p>
    <w:p>
      <w:pPr>
        <w:jc w:val="left"/>
        <w:spacing w:after="110" w:line="330" w:lineRule="auto"/>
      </w:pPr>
      <w:r>
        <w:rPr>
          <w:sz w:val="22"/>
          <w:szCs w:val="22"/>
          <w:rFonts w:ascii="Arial" w:hAnsi="Arial" w:cs="Noto Naskh Arabic"/>
        </w:rPr>
        <w:t xml:space="preserve">Insert complete CRediT roles for each named author. Remove the placeholder statement.</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Required supplementary material</w:t>
      </w:r>
    </w:p>
    <w:p>
      <w:pPr>
        <w:jc w:val="left"/>
        <w:spacing w:after="110" w:line="330" w:lineRule="auto"/>
      </w:pPr>
      <w:r>
        <w:rPr>
          <w:sz w:val="22"/>
          <w:szCs w:val="22"/>
          <w:rFonts w:ascii="Arial" w:hAnsi="Arial" w:cs="Noto Naskh Arabic"/>
        </w:rPr>
        <w:t xml:space="preserve">1. CONSORT 2025 checklist.</w:t>
      </w:r>
    </w:p>
    <w:p>
      <w:pPr>
        <w:jc w:val="left"/>
        <w:spacing w:after="110" w:line="330" w:lineRule="auto"/>
      </w:pPr>
      <w:r>
        <w:rPr>
          <w:sz w:val="22"/>
          <w:szCs w:val="22"/>
          <w:rFonts w:ascii="Arial" w:hAnsi="Arial" w:cs="Noto Naskh Arabic"/>
        </w:rPr>
        <w:t xml:space="preserve">2. CONSORT non-pharmacological-treatment checklist.</w:t>
      </w:r>
    </w:p>
    <w:p>
      <w:pPr>
        <w:jc w:val="left"/>
        <w:spacing w:after="110" w:line="330" w:lineRule="auto"/>
      </w:pPr>
      <w:r>
        <w:rPr>
          <w:sz w:val="22"/>
          <w:szCs w:val="22"/>
          <w:rFonts w:ascii="Arial" w:hAnsi="Arial" w:cs="Noto Naskh Arabic"/>
        </w:rPr>
        <w:t xml:space="preserve">3. TIDieR checklist.</w:t>
      </w:r>
    </w:p>
    <w:p>
      <w:pPr>
        <w:jc w:val="left"/>
        <w:spacing w:after="110" w:line="330" w:lineRule="auto"/>
      </w:pPr>
      <w:r>
        <w:rPr>
          <w:sz w:val="22"/>
          <w:szCs w:val="22"/>
          <w:rFonts w:ascii="Arial" w:hAnsi="Arial" w:cs="Noto Naskh Arabic"/>
        </w:rPr>
        <w:t xml:space="preserve">4. Dated protocol and all amendments.</w:t>
      </w:r>
    </w:p>
    <w:p>
      <w:pPr>
        <w:jc w:val="left"/>
        <w:spacing w:after="110" w:line="330" w:lineRule="auto"/>
      </w:pPr>
      <w:r>
        <w:rPr>
          <w:sz w:val="22"/>
          <w:szCs w:val="22"/>
          <w:rFonts w:ascii="Arial" w:hAnsi="Arial" w:cs="Noto Naskh Arabic"/>
        </w:rPr>
        <w:t xml:space="preserve">5. Dated statistical analysis plan.</w:t>
      </w:r>
    </w:p>
    <w:p>
      <w:pPr>
        <w:jc w:val="left"/>
        <w:spacing w:after="110" w:line="330" w:lineRule="auto"/>
      </w:pPr>
      <w:r>
        <w:rPr>
          <w:sz w:val="22"/>
          <w:szCs w:val="22"/>
          <w:rFonts w:ascii="Arial" w:hAnsi="Arial" w:cs="Noto Naskh Arabic"/>
        </w:rPr>
        <w:t xml:space="preserve">6. Registry history and protocol-to-publication deviation table.</w:t>
      </w:r>
    </w:p>
    <w:p>
      <w:pPr>
        <w:jc w:val="left"/>
        <w:spacing w:after="110" w:line="330" w:lineRule="auto"/>
      </w:pPr>
      <w:r>
        <w:rPr>
          <w:sz w:val="22"/>
          <w:szCs w:val="22"/>
          <w:rFonts w:ascii="Arial" w:hAnsi="Arial" w:cs="Noto Naskh Arabic"/>
        </w:rPr>
        <w:t xml:space="preserve">7. CONSORT participant-flow diagram.</w:t>
      </w:r>
    </w:p>
    <w:p>
      <w:pPr>
        <w:jc w:val="left"/>
        <w:spacing w:after="110" w:line="330" w:lineRule="auto"/>
      </w:pPr>
      <w:r>
        <w:rPr>
          <w:sz w:val="22"/>
          <w:szCs w:val="22"/>
          <w:rFonts w:ascii="Arial" w:hAnsi="Arial" w:cs="Noto Naskh Arabic"/>
        </w:rPr>
        <w:t xml:space="preserve">8. Randomization and envelope implementation audit.</w:t>
      </w:r>
    </w:p>
    <w:p>
      <w:pPr>
        <w:jc w:val="left"/>
        <w:spacing w:after="110" w:line="330" w:lineRule="auto"/>
      </w:pPr>
      <w:r>
        <w:rPr>
          <w:sz w:val="22"/>
          <w:szCs w:val="22"/>
          <w:rFonts w:ascii="Arial" w:hAnsi="Arial" w:cs="Noto Naskh Arabic"/>
        </w:rPr>
        <w:t xml:space="preserve">9. De-identified data dictionary and reproducible code.</w:t>
      </w:r>
    </w:p>
    <w:p>
      <w:pPr>
        <w:jc w:val="left"/>
        <w:spacing w:after="110" w:line="330" w:lineRule="auto"/>
      </w:pPr>
      <w:r>
        <w:rPr>
          <w:sz w:val="22"/>
          <w:szCs w:val="22"/>
          <w:rFonts w:ascii="Arial" w:hAnsi="Arial" w:cs="Noto Naskh Arabic"/>
        </w:rPr>
        <w:t xml:space="preserve">10. Intervention montage photographs/diagrams and device specifications.</w:t>
      </w:r>
    </w:p>
    <w:p>
      <w:pPr>
        <w:jc w:val="left"/>
        <w:spacing w:after="110" w:line="330" w:lineRule="auto"/>
      </w:pPr>
      <w:r>
        <w:rPr>
          <w:sz w:val="22"/>
          <w:szCs w:val="22"/>
          <w:rFonts w:ascii="Arial" w:hAnsi="Arial" w:cs="Noto Naskh Arabic"/>
        </w:rPr>
        <w:t xml:space="preserve">11. Complete masking cross-tabulation.</w:t>
      </w:r>
    </w:p>
    <w:p>
      <w:pPr>
        <w:jc w:val="left"/>
        <w:spacing w:after="110" w:line="330" w:lineRule="auto"/>
      </w:pPr>
      <w:r>
        <w:rPr>
          <w:sz w:val="22"/>
          <w:szCs w:val="22"/>
          <w:rFonts w:ascii="Arial" w:hAnsi="Arial" w:cs="Noto Naskh Arabic"/>
        </w:rPr>
        <w:t xml:space="preserve">12. Complete harms table.</w:t>
      </w:r>
    </w:p>
    <w:p>
      <w:pPr>
        <w:pStyle w:val="Heading2"/>
        <w:jc w:val="left"/>
        <w:spacing w:after="110" w:line="330" w:lineRule="auto"/>
        <w:keepNext/>
      </w:pPr>
      <w:r>
        <w:rPr>
          <w:b/>
          <w:sz w:val="24"/>
          <w:szCs w:val="24"/>
          <w:rFonts w:ascii="Arial" w:hAnsi="Arial" w:cs="Noto Naskh Arabic"/>
        </w:rPr>
        <w:t xml:space="preserve">Corrected and added references</w:t>
      </w:r>
    </w:p>
    <w:p>
      <w:pPr>
        <w:jc w:val="left"/>
        <w:spacing w:after="110" w:line="330" w:lineRule="auto"/>
      </w:pPr>
      <w:r>
        <w:rPr>
          <w:sz w:val="22"/>
          <w:szCs w:val="22"/>
          <w:rFonts w:ascii="Arial" w:hAnsi="Arial" w:cs="Noto Naskh Arabic"/>
        </w:rPr>
        <w:t xml:space="preserve">Retain the original numbering for unchanged references during revision, correct references 11, 21, 31, and 38 as shown in the accompanying audit, and add references 41–56 below. Renumber the complete list automatically after the target journal is selected.</w:t>
      </w:r>
    </w:p>
    <w:p>
      <w:pPr>
        <w:jc w:val="left"/>
        <w:spacing w:after="110" w:line="330" w:lineRule="auto"/>
      </w:pPr>
      <w:r>
        <w:rPr>
          <w:sz w:val="22"/>
          <w:szCs w:val="22"/>
          <w:rFonts w:ascii="Arial" w:hAnsi="Arial" w:cs="Noto Naskh Arabic"/>
        </w:rPr>
        <w:t xml:space="preserve">38. Zandifar A, Banihashemi M, Haghdoost F, Masjedi SS, Manouchehri N, Asgari F, Najafi MR, Ghorbani A, Zandifar S, Saadatnia M. Reliability and validity of the Persian HIT-6 questionnaire in migraine and tension-type headache. Pain Pract. 2014;14(7):625–631. doi:10.1111/papr.12120.</w:t>
      </w:r>
    </w:p>
    <w:p>
      <w:pPr>
        <w:jc w:val="left"/>
        <w:spacing w:after="110" w:line="330" w:lineRule="auto"/>
      </w:pPr>
      <w:r>
        <w:rPr>
          <w:sz w:val="22"/>
          <w:szCs w:val="22"/>
          <w:rFonts w:ascii="Arial" w:hAnsi="Arial" w:cs="Noto Naskh Arabic"/>
        </w:rPr>
        <w:t xml:space="preserve">41. Stovner LJ, Hagen K, Linde M, Steiner TJ. The global prevalence of headache: an update, with analysis of the influences of methodological factors on prevalence estimates. J Headache Pain. 2022;23:34. doi:10.1186/s10194-022-01402-2.</w:t>
      </w:r>
    </w:p>
    <w:p>
      <w:pPr>
        <w:jc w:val="left"/>
        <w:spacing w:after="110" w:line="330" w:lineRule="auto"/>
      </w:pPr>
      <w:r>
        <w:rPr>
          <w:sz w:val="22"/>
          <w:szCs w:val="22"/>
          <w:rFonts w:ascii="Arial" w:hAnsi="Arial" w:cs="Noto Naskh Arabic"/>
        </w:rPr>
        <w:t xml:space="preserve">42. Ashina M, Katsarava Z, Do TP, et al. Migraine: epidemiology and systems of care. Lancet. 2021;397(10283):1485–1495. doi:10.1016/S0140-6736(20)32160-7.</w:t>
      </w:r>
    </w:p>
    <w:p>
      <w:pPr>
        <w:jc w:val="left"/>
        <w:spacing w:after="110" w:line="330" w:lineRule="auto"/>
      </w:pPr>
      <w:r>
        <w:rPr>
          <w:sz w:val="22"/>
          <w:szCs w:val="22"/>
          <w:rFonts w:ascii="Arial" w:hAnsi="Arial" w:cs="Noto Naskh Arabic"/>
        </w:rPr>
        <w:t xml:space="preserve">43. Puledda F, Silva EM, Suwanlaong K, Goadsby PJ. Migraine: from pathophysiology to treatment. J Neurol. 2023;270(7):3654–3666. doi:10.1007/s00415-023-11706-1.</w:t>
      </w:r>
    </w:p>
    <w:p>
      <w:pPr>
        <w:jc w:val="left"/>
        <w:spacing w:after="110" w:line="330" w:lineRule="auto"/>
      </w:pPr>
      <w:r>
        <w:rPr>
          <w:sz w:val="22"/>
          <w:szCs w:val="22"/>
          <w:rFonts w:ascii="Arial" w:hAnsi="Arial" w:cs="Noto Naskh Arabic"/>
        </w:rPr>
        <w:t xml:space="preserve">44. Stanak M, Wolf S, Jagoš H, Zebenholzer K. The impact of external trigeminal nerve stimulator on prevention and acute treatment of episodic and chronic migraine: a systematic review. J Neurol Sci. 2020;412:116725. doi:10.1016/j.jns.2020.116725.</w:t>
      </w:r>
    </w:p>
    <w:p>
      <w:pPr>
        <w:jc w:val="left"/>
        <w:spacing w:after="110" w:line="330" w:lineRule="auto"/>
      </w:pPr>
      <w:r>
        <w:rPr>
          <w:sz w:val="22"/>
          <w:szCs w:val="22"/>
          <w:rFonts w:ascii="Arial" w:hAnsi="Arial" w:cs="Noto Naskh Arabic"/>
        </w:rPr>
        <w:t xml:space="preserve">45. Tassorelli C, Diener HC, Silberstein SD, et al. Guidelines of the International Headache Society for clinical trials with neuromodulation devices for the treatment of migraine. Cephalalgia. 2021;41(11–12):1135–1151. doi:10.1177/03331024211010413.</w:t>
      </w:r>
    </w:p>
    <w:p>
      <w:pPr>
        <w:jc w:val="left"/>
        <w:spacing w:after="110" w:line="330" w:lineRule="auto"/>
      </w:pPr>
      <w:r>
        <w:rPr>
          <w:sz w:val="22"/>
          <w:szCs w:val="22"/>
          <w:rFonts w:ascii="Arial" w:hAnsi="Arial" w:cs="Noto Naskh Arabic"/>
        </w:rPr>
        <w:t xml:space="preserve">46. Evans AG, Horrar AN, Ibrahim MM, et al. Outcomes of transcutaneous nerve stimulation for migraine headaches: a systematic review and meta-analysis. J Neurol. 2022;269(8):4021–4029. doi:10.1007/s00415-022-11059-1.</w:t>
      </w:r>
    </w:p>
    <w:p>
      <w:pPr>
        <w:jc w:val="left"/>
        <w:spacing w:after="110" w:line="330" w:lineRule="auto"/>
      </w:pPr>
      <w:r>
        <w:rPr>
          <w:sz w:val="22"/>
          <w:szCs w:val="22"/>
          <w:rFonts w:ascii="Arial" w:hAnsi="Arial" w:cs="Noto Naskh Arabic"/>
        </w:rPr>
        <w:t xml:space="preserve">47. Yuan H, Orr SL, Al-Karagholi MAM, et al. International Headache Society evidence-based guidelines on the use of non-invasive neuromodulation devices for the acute and preventive treatment of migraine. Cephalalgia. 2025;45(10). doi:10.1177/03331024251388377.</w:t>
      </w:r>
    </w:p>
    <w:p>
      <w:pPr>
        <w:jc w:val="left"/>
        <w:spacing w:after="110" w:line="330" w:lineRule="auto"/>
      </w:pPr>
      <w:r>
        <w:rPr>
          <w:sz w:val="22"/>
          <w:szCs w:val="22"/>
          <w:rFonts w:ascii="Arial" w:hAnsi="Arial" w:cs="Noto Naskh Arabic"/>
        </w:rPr>
        <w:t xml:space="preserve">48. Hopewell S, Chan AW, Collins GS, et al. CONSORT 2025 statement: updated guideline for reporting randomised trials. BMJ. 2025;389:e081123. doi:10.1136/bmj-2024-081123.</w:t>
      </w:r>
    </w:p>
    <w:p>
      <w:pPr>
        <w:jc w:val="left"/>
        <w:spacing w:after="110" w:line="330" w:lineRule="auto"/>
      </w:pPr>
      <w:r>
        <w:rPr>
          <w:sz w:val="22"/>
          <w:szCs w:val="22"/>
          <w:rFonts w:ascii="Arial" w:hAnsi="Arial" w:cs="Noto Naskh Arabic"/>
        </w:rPr>
        <w:t xml:space="preserve">49. Junqueira DR, Zorzela L, Golder S, et al. CONSORT Harms 2022 statement, explanation, and elaboration: updated guideline for the reporting of harms in randomised trials. BMJ. 2023;381:e073725. doi:10.1136/bmj-2022-073725.</w:t>
      </w:r>
    </w:p>
    <w:p>
      <w:pPr>
        <w:jc w:val="left"/>
        <w:spacing w:after="110" w:line="330" w:lineRule="auto"/>
      </w:pPr>
      <w:r>
        <w:rPr>
          <w:sz w:val="22"/>
          <w:szCs w:val="22"/>
          <w:rFonts w:ascii="Arial" w:hAnsi="Arial" w:cs="Noto Naskh Arabic"/>
        </w:rPr>
        <w:t xml:space="preserve">50. Ashina S, Terwindt GM, Steiner TJ, et al. Medication overuse headache. Nat Rev Dis Primers. 2023;9:5. doi:10.1038/s41572-022-00415-0.</w:t>
      </w:r>
    </w:p>
    <w:p>
      <w:pPr>
        <w:jc w:val="left"/>
        <w:spacing w:after="110" w:line="330" w:lineRule="auto"/>
      </w:pPr>
      <w:r>
        <w:rPr>
          <w:sz w:val="22"/>
          <w:szCs w:val="22"/>
          <w:rFonts w:ascii="Arial" w:hAnsi="Arial" w:cs="Noto Naskh Arabic"/>
        </w:rPr>
        <w:t xml:space="preserve">51. Zandifar A, Asgari F, Haghdoost F, Masjedi SS, Manouchehri N, Banihashemi M, et al. Reliability and validity of the Migraine Disability Assessment Scale among migraine and tension type headache in Iranian patients. Biomed Res Int. 2014;2014:978064. doi:10.1155/2014/978064.</w:t>
      </w:r>
    </w:p>
    <w:p>
      <w:pPr>
        <w:jc w:val="left"/>
        <w:spacing w:after="110" w:line="330" w:lineRule="auto"/>
      </w:pPr>
      <w:r>
        <w:rPr>
          <w:sz w:val="22"/>
          <w:szCs w:val="22"/>
          <w:rFonts w:ascii="Arial" w:hAnsi="Arial" w:cs="Noto Naskh Arabic"/>
        </w:rPr>
        <w:t xml:space="preserve">52. Diener HC, Tassorelli C, Dodick DW, et al. Guidelines of the International Headache Society for controlled trials of preventive treatment of migraine attacks in episodic migraine in adults. Cephalalgia. 2020;40(10):1026–1044. doi:10.1177/0333102420941839.</w:t>
      </w:r>
    </w:p>
    <w:p>
      <w:pPr>
        <w:jc w:val="left"/>
        <w:spacing w:after="110" w:line="330" w:lineRule="auto"/>
      </w:pPr>
      <w:r>
        <w:rPr>
          <w:sz w:val="22"/>
          <w:szCs w:val="22"/>
          <w:rFonts w:ascii="Arial" w:hAnsi="Arial" w:cs="Noto Naskh Arabic"/>
        </w:rPr>
        <w:t xml:space="preserve">53. GBD 2023 Headache Collaborators. Global, regional, and national burden of headache disorders, 1990–2023: a systematic analysis for the Global Burden of Disease Study 2023. Lancet Neurol. 2025;24(12):1005–1015. doi:10.1016/S1474-4422(25)00402-8.</w:t>
      </w:r>
    </w:p>
    <w:p>
      <w:pPr>
        <w:jc w:val="left"/>
        <w:spacing w:after="110" w:line="330" w:lineRule="auto"/>
      </w:pPr>
      <w:r>
        <w:rPr>
          <w:sz w:val="22"/>
          <w:szCs w:val="22"/>
          <w:rFonts w:ascii="Arial" w:hAnsi="Arial" w:cs="Noto Naskh Arabic"/>
        </w:rPr>
        <w:t xml:space="preserve">54. Zhou S, Hussain N, Abd-Elsayed A, Boulos R, Hakim M, Gupta M, Weaver T. Peripheral nerve stimulation for treatment of headaches: an evidence-based review. Biomedicines. 2021;9(11):1588. doi:10.3390/biomedicines9111588.</w:t>
      </w:r>
    </w:p>
    <w:p>
      <w:pPr>
        <w:jc w:val="left"/>
        <w:spacing w:after="110" w:line="330" w:lineRule="auto"/>
      </w:pPr>
      <w:r>
        <w:rPr>
          <w:sz w:val="22"/>
          <w:szCs w:val="22"/>
          <w:rFonts w:ascii="Arial" w:hAnsi="Arial" w:cs="Noto Naskh Arabic"/>
        </w:rPr>
        <w:t xml:space="preserve">55. Cocores AN, Smirnoff L, Greco G, Herrera R, Monteith TS. Update on neuromodulation for migraine and other primary headache disorders: recent advances and new indications. Curr Pain Headache Rep. 2025;29:47. doi:10.1007/s11916-024-01314-7.</w:t>
      </w:r>
    </w:p>
    <w:p>
      <w:pPr>
        <w:jc w:val="left"/>
        <w:spacing w:after="110" w:line="330" w:lineRule="auto"/>
      </w:pPr>
      <w:r>
        <w:rPr>
          <w:sz w:val="22"/>
          <w:szCs w:val="22"/>
          <w:rFonts w:ascii="Arial" w:hAnsi="Arial" w:cs="Noto Naskh Arabic"/>
        </w:rPr>
        <w:t xml:space="preserve">56. Ye Y, Xie X, Huang H, Zhang H, Yu Y, Qu W. Efficacy and safety of transcutaneous supraorbital nerve stimulation versus topiramate for migraine prevention: a non-inferiority randomized trial. J Headache Pain. 2026;27:143. doi:10.1186/s10194-026-02367-2.</w:t>
      </w:r>
    </w:p>
    <w:p>
      <w:pPr>
        <w:pStyle w:val="Heading3"/>
        <w:jc w:val="left"/>
        <w:spacing w:after="110" w:line="330" w:lineRule="auto"/>
        <w:keepNext/>
      </w:pPr>
      <w:r>
        <w:rPr>
          <w:b/>
          <w:sz w:val="20"/>
          <w:szCs w:val="20"/>
          <w:rFonts w:ascii="Arial" w:hAnsi="Arial" w:cs="Noto Naskh Arabic"/>
        </w:rPr>
        <w:t xml:space="preserve">References to remove or restrict</w:t>
      </w:r>
    </w:p>
    <w:p>
      <w:pPr>
        <w:jc w:val="left"/>
        <w:spacing w:after="110" w:line="330" w:lineRule="auto"/>
      </w:pPr>
      <w:r>
        <w:rPr>
          <w:sz w:val="22"/>
          <w:szCs w:val="22"/>
          <w:rFonts w:ascii="Arial" w:hAnsi="Arial" w:cs="Noto Naskh Arabic"/>
        </w:rPr>
        <w:t xml:space="preserve">• Reference 17 is an abstract-only pilot report and should not support an efficacy claim.</w:t>
      </w:r>
    </w:p>
    <w:p>
      <w:pPr>
        <w:jc w:val="left"/>
        <w:spacing w:after="110" w:line="330" w:lineRule="auto"/>
      </w:pPr>
      <w:r>
        <w:rPr>
          <w:sz w:val="22"/>
          <w:szCs w:val="22"/>
          <w:rFonts w:ascii="Arial" w:hAnsi="Arial" w:cs="Noto Naskh Arabic"/>
        </w:rPr>
        <w:t xml:space="preserve">• Reference 24 concerns implanted occipital plus supraorbital stimulation and must not support infraorbital TENS.</w:t>
      </w:r>
    </w:p>
    <w:p>
      <w:pPr>
        <w:jc w:val="left"/>
        <w:spacing w:after="110" w:line="330" w:lineRule="auto"/>
      </w:pPr>
      <w:r>
        <w:rPr>
          <w:sz w:val="22"/>
          <w:szCs w:val="22"/>
          <w:rFonts w:ascii="Arial" w:hAnsi="Arial" w:cs="Noto Naskh Arabic"/>
        </w:rPr>
        <w:t xml:space="preserve">• Reference 31 is a meeting abstract with incorrect metadata in the supplied manuscript and does not validate MPQ-5 as a continuous longitudinal endpoint.</w:t>
      </w:r>
    </w:p>
    <w:p>
      <w:pPr>
        <w:jc w:val="left"/>
        <w:spacing w:after="110" w:line="330" w:lineRule="auto"/>
      </w:pPr>
      <w:r>
        <w:rPr>
          <w:sz w:val="22"/>
          <w:szCs w:val="22"/>
          <w:rFonts w:ascii="Arial" w:hAnsi="Arial" w:cs="Noto Naskh Arabic"/>
        </w:rPr>
        <w:t xml:space="preserve">• Reference 16 supports post-marketing tolerability and satisfaction, not efficacy.</w:t>
      </w:r>
    </w:p>
    <w:p>
      <w:pPr>
        <w:jc w:val="left"/>
        <w:spacing w:after="110" w:line="330" w:lineRule="auto"/>
      </w:pPr>
      <w:r>
        <w:rPr>
          <w:sz w:val="22"/>
          <w:szCs w:val="22"/>
          <w:rFonts w:ascii="Arial" w:hAnsi="Arial" w:cs="Noto Naskh Arabic"/>
        </w:rPr>
        <w:t xml:space="preserve">• References 18–20 are uncontrolled exploratory studies.</w:t>
      </w:r>
    </w:p>
    <w:p>
      <w:pPr>
        <w:jc w:val="left"/>
        <w:spacing w:after="110" w:line="330" w:lineRule="auto"/>
      </w:pPr>
      <w:r>
        <w:rPr>
          <w:sz w:val="22"/>
          <w:szCs w:val="22"/>
          <w:rFonts w:ascii="Arial" w:hAnsi="Arial" w:cs="Noto Naskh Arabic"/>
        </w:rPr>
        <w:t xml:space="preserve">• Reference 25 (TEAM) concerns acute treatment, not prevention.</w:t>
      </w:r>
    </w:p>
    <w:p>
      <w:pPr>
        <w:jc w:val="left"/>
        <w:spacing w:after="110" w:line="330" w:lineRule="auto"/>
      </w:pPr>
      <w:r>
        <w:rPr>
          <w:sz w:val="22"/>
          <w:szCs w:val="22"/>
          <w:rFonts w:ascii="Arial" w:hAnsi="Arial" w:cs="Noto Naskh Arabic"/>
        </w:rPr>
        <w:t xml:space="preserve">• Reference 40 concerns vagus nerve stimulation and is only indirect evidence for the present intervention.</w:t>
      </w:r>
    </w:p>
    <w:sectPr>
      <w:pgSz w:w="11906" w:h="16838"/>
      <w:pgMar w:top="900" w:right="850" w:bottom="900" w:left="850" w:header="400" w:footer="400"/>
    </w:sectPr>
  </w:body>
</w:document>
</file>

<file path=word/styles.xml><?xml version="1.0" encoding="utf-8"?>
<w:styles xmlns:w="http://schemas.openxmlformats.org/wordprocessingml/2006/main">
  <w:docDefaults>
    <w:rPrDefault>
      <w:rPr>
        <w:rFonts w:ascii="Arial" w:hAnsi="Arial" w:cs="Noto Naskh Arabic"/>
        <w:sz w:val="22"/>
        <w:szCs w:val="22"/>
      </w:rPr>
    </w:rPrDefault>
  </w:docDefaults>
  <w:style w:type="paragraph" w:default="1" w:styleId="Normal">
    <w:name w:val="Normal"/>
  </w:style>
  <w:style w:type="paragraph" w:styleId="Title">
    <w:name w:val="Title"/>
    <w:basedOn w:val="Normal"/>
    <w:pPr>
      <w:keepNext/>
      <w:spacing w:after="220"/>
    </w:pPr>
    <w:rPr>
      <w:b/>
      <w:color w:val="173C6B"/>
      <w:sz w:val="40"/>
      <w:szCs w:val="40"/>
    </w:rPr>
  </w:style>
  <w:style w:type="paragraph" w:styleId="Heading1">
    <w:name w:val="heading 1"/>
    <w:basedOn w:val="Normal"/>
    <w:pPr>
      <w:keepNext/>
      <w:spacing w:before="260" w:after="140"/>
    </w:pPr>
    <w:rPr>
      <w:b/>
      <w:color w:val="173C6B"/>
      <w:sz w:val="32"/>
      <w:szCs w:val="32"/>
    </w:rPr>
  </w:style>
  <w:style w:type="paragraph" w:styleId="Heading2">
    <w:name w:val="heading 2"/>
    <w:basedOn w:val="Normal"/>
    <w:pPr>
      <w:keepNext/>
      <w:spacing w:before="220" w:after="110"/>
    </w:pPr>
    <w:rPr>
      <w:b/>
      <w:color w:val="244F7B"/>
      <w:sz w:val="28"/>
      <w:szCs w:val="28"/>
    </w:rPr>
  </w:style>
  <w:style w:type="paragraph" w:styleId="Heading3">
    <w:name w:val="heading 3"/>
    <w:basedOn w:val="Normal"/>
    <w:pPr>
      <w:keepNext/>
      <w:spacing w:before="180" w:after="90"/>
    </w:pPr>
    <w:rPr>
      <w:b/>
      <w:color w:val="315D88"/>
      <w:sz w:val="25"/>
      <w:szCs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Manuscript Review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Manuscript Review and Revision Package</dc:title>
  <dc:creator>Manuscript review team</dc:creator>
  <dcterms:created xsi:type="dcterms:W3CDTF">2026-07-26T14:24:27Z</dcterms:created>
  <dcterms:modified xsi:type="dcterms:W3CDTF">2026-07-26T14:24:27Z</dcterms:modified>
</cp:coreProperties>
</file>