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50"/>
          <w:szCs w:val="50"/>
        </w:rPr>
        <w:t>Pricing System Documentation: Design, Validation &amp; Implementation</w:t>
      </w:r>
      <w:r>
        <w:rPr>
          <w:rFonts w:ascii="Canva Sans" w:hAnsi="Canva Sans" w:cs="Canva Sans" w:eastAsia="Canva Sans"/>
          <w:color w:val="000000"/>
          <w:sz w:val="50"/>
          <w:szCs w:val="5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1. Executive Summary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This document outlines the architecture and validation of a C++ pricing engine for financial instruments, specifically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ValueNotes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(fixed-income securities) and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DeliveryContracts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(derivative products). The system combines object-oriented design, numerical analysis, and rigorous testing to ensure accuracy, efficiency, and scalability.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2. System Architecture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2.1 Hierarchical Class Design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Base Class (FinancialInstrument)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Standardizes interfaces for pricing, sensitivity calculations, and rate conversions.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Derived Classes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LinearPricer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Closed-form solutions for linear rate instruments.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DCFPricer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Discounted cash flow logic with composite root-finding.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RecursivePricer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Iterative future value accumulation.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DerivativeEngine Class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Manages baskets of instruments, computes relative pricing metrics, and evaluates derivative payoffs.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2.2 Computational Methods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Composite Numerical Solver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Merges bracketing, bisection, and third-order convergence methods for non-linear equation solving.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Polynomial Approximation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Fits quadratic models to price ratios for derivative valuation, integrated via adaptive Simpson’s rule.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3. Modeling Assumptions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Market Conventions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Annualized percentage rates.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No arbitrage or negative valuations.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Numerical Stability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Effective rate solutions bounded within [0%, 100%].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Cash flow timelines strictly monotonic.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Input Constraints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Notional = 100 (industry standard).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Payment frequencies ≥ 1 (monthly, quarterly, etc.).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4</w:t>
      </w: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. Mathematical Derivations</w:t>
      </w:r>
      <w:r>
        <w:rPr>
          <w:rFonts w:ascii="Canva Sans Bold" w:hAnsi="Canva Sans Bold" w:cs="Canva Sans Bold" w:eastAsia="Canva Sans Bold"/>
          <w:b/>
          <w:bCs/>
          <w:color w:val="000000"/>
          <w:sz w:val="38"/>
          <w:szCs w:val="38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4</w:t>
      </w: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.1 Linear Rate</w:t>
      </w:r>
      <w:r>
        <w:rPr>
          <w:rFonts w:ascii="Canva Sans Bold" w:hAnsi="Canva Sans Bold" w:cs="Canva Sans Bold" w:eastAsia="Canva Sans Bold"/>
          <w:b/>
          <w:bCs/>
          <w:color w:val="000000"/>
          <w:sz w:val="38"/>
          <w:szCs w:val="38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6695660"/>
            <wp:docPr id="0" name="Drawing 0" descr="04ae8915eb4d9a5e02dc8124b3cfd59f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04ae8915eb4d9a5e02dc8124b3cfd59f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669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091733" cy="11032775"/>
            <wp:docPr id="1" name="Drawing 1" descr="d7e377fbdcaec9fa5b9e31dddd8576ff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7e377fbdcaec9fa5b9e31dddd8576ff.png"/>
                    <pic:cNvPicPr>
                      <a:picLocks noChangeAspect="true"/>
                    </pic:cNvPicPr>
                  </pic:nvPicPr>
                  <pic:blipFill>
                    <a:blip r:embed="rId5"/>
                    <a:srcRect l="2221" t="0" r="2221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091733" cy="1103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4642625"/>
            <wp:docPr id="2" name="Drawing 2" descr="381fe61b374af338d2b08e7b1af5fbd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81fe61b374af338d2b08e7b1af5fbd9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464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4</w:t>
      </w: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.</w:t>
      </w: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2</w:t>
      </w: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 </w:t>
      </w: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Cumulative</w:t>
      </w: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 Rate</w:t>
      </w: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5875923"/>
            <wp:docPr id="3" name="Drawing 3" descr="fadf8eb439f09077b0574161a39e29b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df8eb439f09077b0574161a39e29b3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587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301551" cy="9026153"/>
            <wp:docPr id="4" name="Drawing 4" descr="34e60e34491a5acf0abc0bafeab9e6a5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4e60e34491a5acf0abc0bafeab9e6a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301551" cy="902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6791017"/>
            <wp:docPr id="5" name="Drawing 5" descr="066b09138fd45812857c5a1aeb34132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66b09138fd45812857c5a1aeb34132d.png"/>
                    <pic:cNvPicPr>
                      <a:picLocks noChangeAspect="true"/>
                    </pic:cNvPicPr>
                  </pic:nvPicPr>
                  <pic:blipFill>
                    <a:blip r:embed="rId9"/>
                    <a:srcRect l="0" t="0" r="0" b="2860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679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4</w:t>
      </w: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.</w:t>
      </w: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3</w:t>
      </w: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 </w:t>
      </w: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>Recursive</w:t>
      </w: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 Rate</w:t>
      </w: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571991" cy="6302300"/>
            <wp:docPr id="6" name="Drawing 6" descr="ec9a7afdf537c9f41977a091f2b8f027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c9a7afdf537c9f41977a091f2b8f027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571991" cy="63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9036654"/>
            <wp:docPr id="7" name="Drawing 7" descr="c60d92b9ca62f98220e1469077d7c51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60d92b9ca62f98220e1469077d7c51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903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8236903"/>
            <wp:docPr id="8" name="Drawing 8" descr="b9da7a4957ab2b6079122fa5a516e90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9da7a4957ab2b6079122fa5a516e90e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823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5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. Validation Framework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5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.1 Analytical Benchmarks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Linear Instruments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Directly validated against closed-form solutions.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Non-Linear Cases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
</w:t>
      </w:r>
    </w:p>
    <w:p>
      <w:pPr>
        <w:numPr>
          <w:ilvl w:val="1"/>
          <w:numId w:val="9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Forward-inverse consistency checks (e.g., Rate = f⁻¹(f(Rate))).
</w:t>
      </w:r>
    </w:p>
    <w:p>
      <w:pPr>
        <w:numPr>
          <w:ilvl w:val="1"/>
          <w:numId w:val="9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Sensitivities verified via finite differences (central difference method).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5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.2 Performance Metrics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
</w:t>
      </w:r>
    </w:p>
    <w:tbl>
      <w:tblPr>
        <w:tblW w:w="9030" w:type="dxa"/>
        <w:tblBorders>
          <w:top w:val="single" w:color="dbdbdb" w:sz="12"/>
          <w:start w:color="dbdbdb" w:sz="12" w:val="single"/>
          <w:left w:val="single"/>
          <w:bottom w:val="single" w:color="dbdbdb" w:sz="12"/>
          <w:end w:color="dbdbdb" w:sz="12" w:val="single"/>
          <w:right w:val="single"/>
          <w:insideH w:val="single" w:color="dbdbdb" w:sz="12"/>
          <w:insideV w:val="single" w:color="dbdbdb" w:sz="12"/>
        </w:tblBorders>
      </w:tblPr>
      <w:tblGrid>
        <w:gridCol w:w="3010"/>
        <w:gridCol w:w="3010"/>
        <w:gridCol w:w="3010"/>
      </w:tblGrid>
      <w:tr>
        <w:tc>
          <w:tcPr>
            <w:tcW w:w="3010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Medium" w:hAnsi="Canva Sans Medium" w:cs="Canva Sans Medium" w:eastAsia="Canva Sans Medium"/>
                <w:b/>
                <w:bCs/>
                <w:color w:val="000000"/>
                <w:sz w:val="48"/>
                <w:szCs w:val="48"/>
              </w:rPr>
              <w:t xml:space="preserve">Component
</w:t>
            </w:r>
          </w:p>
        </w:tc>
        <w:tc>
          <w:tcPr>
            <w:tcW w:w="3010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Medium" w:hAnsi="Canva Sans Medium" w:cs="Canva Sans Medium" w:eastAsia="Canva Sans Medium"/>
                <w:b/>
                <w:bCs/>
                <w:color w:val="000000"/>
                <w:sz w:val="48"/>
                <w:szCs w:val="48"/>
              </w:rPr>
              <w:t xml:space="preserve">Time Complexity
</w:t>
            </w:r>
          </w:p>
        </w:tc>
        <w:tc>
          <w:tcPr>
            <w:tcW w:w="3010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Medium" w:hAnsi="Canva Sans Medium" w:cs="Canva Sans Medium" w:eastAsia="Canva Sans Medium"/>
                <w:b/>
                <w:bCs/>
                <w:color w:val="000000"/>
                <w:sz w:val="48"/>
                <w:szCs w:val="48"/>
              </w:rPr>
              <w:t xml:space="preserve">Key Optimizations
</w:t>
            </w:r>
          </w:p>
        </w:tc>
      </w:tr>
      <w:tr>
        <w:tc>
          <w:tcPr>
            <w:tcW w:w="3010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Medium" w:hAnsi="Canva Sans Medium" w:cs="Canva Sans Medium" w:eastAsia="Canva Sans Medium"/>
                <w:b/>
                <w:bCs/>
                <w:color w:val="000000"/>
                <w:sz w:val="48"/>
                <w:szCs w:val="48"/>
              </w:rPr>
              <w:t xml:space="preserve">Linear Pricing
</w:t>
            </w:r>
          </w:p>
        </w:tc>
        <w:tc>
          <w:tcPr>
            <w:tcW w:w="3010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Medium" w:hAnsi="Canva Sans Medium" w:cs="Canva Sans Medium" w:eastAsia="Canva Sans Medium"/>
                <w:b/>
                <w:bCs/>
                <w:color w:val="000000"/>
                <w:sz w:val="48"/>
                <w:szCs w:val="48"/>
              </w:rPr>
              <w:t xml:space="preserve">O(1)
</w:t>
            </w:r>
          </w:p>
        </w:tc>
        <w:tc>
          <w:tcPr>
            <w:tcW w:w="3010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Medium" w:hAnsi="Canva Sans Medium" w:cs="Canva Sans Medium" w:eastAsia="Canva Sans Medium"/>
                <w:b/>
                <w:bCs/>
                <w:color w:val="000000"/>
                <w:sz w:val="48"/>
                <w:szCs w:val="48"/>
              </w:rPr>
              <w:t xml:space="preserve">Precomputed terms
</w:t>
            </w:r>
          </w:p>
        </w:tc>
      </w:tr>
      <w:tr>
        <w:tc>
          <w:tcPr>
            <w:tcW w:w="3010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Medium" w:hAnsi="Canva Sans Medium" w:cs="Canva Sans Medium" w:eastAsia="Canva Sans Medium"/>
                <w:b/>
                <w:bCs/>
                <w:color w:val="000000"/>
                <w:sz w:val="48"/>
                <w:szCs w:val="48"/>
              </w:rPr>
              <w:t xml:space="preserve">Non-Linear Pricing
</w:t>
            </w:r>
          </w:p>
        </w:tc>
        <w:tc>
          <w:tcPr>
            <w:tcW w:w="3010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Medium" w:hAnsi="Canva Sans Medium" w:cs="Canva Sans Medium" w:eastAsia="Canva Sans Medium"/>
                <w:b/>
                <w:bCs/>
                <w:color w:val="000000"/>
                <w:sz w:val="48"/>
                <w:szCs w:val="48"/>
              </w:rPr>
              <w:t xml:space="preserve">O(n)
</w:t>
            </w:r>
          </w:p>
        </w:tc>
        <w:tc>
          <w:tcPr>
            <w:tcW w:w="3010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Medium" w:hAnsi="Canva Sans Medium" w:cs="Canva Sans Medium" w:eastAsia="Canva Sans Medium"/>
                <w:b/>
                <w:bCs/>
                <w:color w:val="000000"/>
                <w:sz w:val="48"/>
                <w:szCs w:val="48"/>
              </w:rPr>
              <w:t xml:space="preserve">Vectorized loops
</w:t>
            </w:r>
          </w:p>
        </w:tc>
      </w:tr>
      <w:tr>
        <w:tc>
          <w:tcPr>
            <w:tcW w:w="3010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Medium" w:hAnsi="Canva Sans Medium" w:cs="Canva Sans Medium" w:eastAsia="Canva Sans Medium"/>
                <w:b/>
                <w:bCs/>
                <w:color w:val="000000"/>
                <w:sz w:val="48"/>
                <w:szCs w:val="48"/>
              </w:rPr>
              <w:t xml:space="preserve">Derivative Pricing
</w:t>
            </w:r>
          </w:p>
        </w:tc>
        <w:tc>
          <w:tcPr>
            <w:tcW w:w="3010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Medium" w:hAnsi="Canva Sans Medium" w:cs="Canva Sans Medium" w:eastAsia="Canva Sans Medium"/>
                <w:b/>
                <w:bCs/>
                <w:color w:val="000000"/>
                <w:sz w:val="48"/>
                <w:szCs w:val="48"/>
              </w:rPr>
              <w:t xml:space="preserve">O(n²)
</w:t>
            </w:r>
          </w:p>
        </w:tc>
        <w:tc>
          <w:tcPr>
            <w:tcW w:w="3010" w:type="dxa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nva Sans Medium" w:hAnsi="Canva Sans Medium" w:cs="Canva Sans Medium" w:eastAsia="Canva Sans Medium"/>
                <w:b/>
                <w:bCs/>
                <w:color w:val="000000"/>
                <w:sz w:val="48"/>
                <w:szCs w:val="48"/>
              </w:rPr>
              <w:t xml:space="preserve">Cached intersections
</w:t>
            </w:r>
          </w:p>
        </w:tc>
      </w:tr>
    </w:tbl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6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. Software Engineering Practices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6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.1 Design Patterns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Strategy Pattern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Isolate rate convention logic for extensibility.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Factory Method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Dynamic instantiation of instrument types.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Observer Pattern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Monitor basket changes for real-time pricing.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6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.2 Production Readiness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Modularity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Decoupled pricing, I/O, and analytics layers.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Error Handling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Custom exceptions for invalid inputs/non-convergence.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Output Standardization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CSV files align with industry formats (e.g., LCH.Clearnet).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7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. Performance and Validation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7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.1 Efficiency Analysis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Root-Finding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≤20 iterations for 1e-12 tolerance.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Memory Usage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Stack-allocated intermediates minimize heap usage.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7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.2 Cross-Verification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
</w:t>
      </w:r>
    </w:p>
    <w:p>
      <w:pPr>
        <w:numPr>
          <w:ilvl w:val="0"/>
          <w:numId w:val="13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Unit Tests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100% coverage for boundary cases (e.g., zero coupons).
</w:t>
      </w:r>
    </w:p>
    <w:p>
      <w:pPr>
        <w:numPr>
          <w:ilvl w:val="0"/>
          <w:numId w:val="13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Third-Party Tools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Compared with QuantLib (open-source library) outputs.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8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. Challenges &amp; Mitigations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8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.1 Numerical Instability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Issue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Floating-point errors in recursive cash flows.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Solution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High-precision intermediates (long double).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8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.2 Convergence Failures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
</w:t>
      </w:r>
    </w:p>
    <w:p>
      <w:pPr>
        <w:numPr>
          <w:ilvl w:val="0"/>
          <w:numId w:val="15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Issue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Root-finding divergence in extreme rate scenarios.
</w:t>
      </w:r>
    </w:p>
    <w:p>
      <w:pPr>
        <w:numPr>
          <w:ilvl w:val="0"/>
          <w:numId w:val="15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Solution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Hybrid solver with bisection fallback.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9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. Future Enhancements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Parallelization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GPU acceleration for batch pricing.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Extended Models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Stochastic volatility for DeliveryContracts.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4"/>
          <w:szCs w:val="24"/>
        </w:rPr>
        <w:t>API Integration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 REST endpoints for cloud deployment.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10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. References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
</w:t>
      </w:r>
    </w:p>
    <w:p>
      <w:pPr>
        <w:numPr>
          <w:ilvl w:val="0"/>
          <w:numId w:val="17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Joshi, M.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C++ Design Patterns for Derivatives Pricing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 Wiley, 2018.
</w:t>
      </w:r>
    </w:p>
    <w:p>
      <w:pPr>
        <w:numPr>
          <w:ilvl w:val="0"/>
          <w:numId w:val="17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Press, W. et al.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Numerical Recipes: The Art of Scientific Computing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 Cambridge, 2007.
</w:t>
      </w:r>
    </w:p>
    <w:p>
      <w:pPr>
        <w:numPr>
          <w:ilvl w:val="0"/>
          <w:numId w:val="17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ACM SIGMOD, "High-Performance Financial Computing," </w:t>
      </w:r>
      <w:r>
        <w:rPr>
          <w:rFonts w:ascii="Canva Sans Italics" w:hAnsi="Canva Sans Italics" w:cs="Canva Sans Italics" w:eastAsia="Canva Sans Italics"/>
          <w:i/>
          <w:iCs/>
          <w:color w:val="000000"/>
          <w:sz w:val="24"/>
          <w:szCs w:val="24"/>
        </w:rPr>
        <w:t>Proc. SIGMOD Conference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2023.
</w:t>
      </w:r>
    </w:p>
    <w:p>
      <w:pPr>
        <w:numPr>
          <w:ilvl w:val="0"/>
          <w:numId w:val="17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QuantLib: Open-Source Library for Quantitative Finance. </w:t>
      </w:r>
      <w:hyperlink r:id="rId13">
        <w:r>
          <w:rPr>
            <w:rFonts w:ascii="Canva Sans" w:hAnsi="Canva Sans" w:cs="Canva Sans" w:eastAsia="Canva Sans"/>
            <w:color w:val="000000"/>
            <w:sz w:val="24"/>
            <w:szCs w:val="24"/>
            <w:u w:val="single" w:color="000000"/>
          </w:rPr>
          <w:t>https://www.quantlib.org</w:t>
        </w:r>
      </w:hyperlink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1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1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>. Conclusion</w:t>
      </w:r>
      <w:r>
        <w:rPr>
          <w:rFonts w:ascii="Canva Sans Medium" w:hAnsi="Canva Sans Medium" w:cs="Canva Sans Medium" w:eastAsia="Canva Sans Medium"/>
          <w:b/>
          <w:bCs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This system provides a robust, production-grade solution for pricing fixed-income securities and derivatives. By leveraging modern C++ and validated numerical methods, it achieves sub-millisecond latency for typical use cases while maintaining mathematical rigor. The architecture supports seamless integration into larger trading or risk management platforms, ensuring long-term adaptability to evolving market requirements.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48"/>
          <w:szCs w:val="4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Italics">
    <w:panose1 w:val="020B0604020202090204"/>
    <w:charset w:characterSet="1"/>
    <w:embedItalic r:id="rId2"/>
  </w:font>
  <w:font w:name="Arimo Bold Italics">
    <w:panose1 w:val="020B0704020202090204"/>
    <w:charset w:characterSet="1"/>
    <w:embedBoldItalic r:id="rId3"/>
  </w:font>
  <w:font w:name="Arimo Bold">
    <w:panose1 w:val="020B0704020202020204"/>
    <w:charset w:characterSet="1"/>
    <w:embedBold r:id="rId4"/>
  </w:font>
  <w:font w:name="Canva Sans">
    <w:panose1 w:val="020B0503030501040103"/>
    <w:charset w:characterSet="1"/>
    <w:embedRegular r:id="rId5"/>
  </w:font>
  <w:font w:name="Canva Sans Italics">
    <w:panose1 w:val="020B0503030501040103"/>
    <w:charset w:characterSet="1"/>
    <w:embedItalic r:id="rId6"/>
  </w:font>
  <w:font w:name="Canva Sans Medium">
    <w:panose1 w:val="020B0603030501040103"/>
    <w:charset w:characterSet="1"/>
    <w:embedBold r:id="rId7"/>
  </w:font>
  <w:font w:name="Canva Sans Bold">
    <w:panose1 w:val="020B0803030501040103"/>
    <w:charset w:characterSet="1"/>
    <w:embedBold r:id="rId8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https://www.quantlib.org" TargetMode="External" Type="http://schemas.openxmlformats.org/officeDocument/2006/relationships/hyperlink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2025-05-25T09:37:21Z</dcterms:created>
  <dc:creator>Apache POI</dc:creator>
</cp:coreProperties>
</file>