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Segoe UI" w:hAnsi="Segoe UI"/>
          <w:b/>
          <w:sz w:val="24"/>
          <w:color w:val="2563EB"/>
        </w:rPr>
        <w:t xml:space="preserve">SMART INDIA HACKATHON (SIH 2026)</w:t>
      </w:r>
    </w:p>
    <w:p>
      <w:pPr>
        <w:spacing w:before="0" w:after="100"/>
      </w:pPr>
      <w:r>
        <w:rPr>
          <w:rFonts w:ascii="Segoe UI" w:hAnsi="Segoe UI"/>
          <w:b/>
          <w:sz w:val="40"/>
          <w:color w:val="0F2744"/>
        </w:rPr>
        <w:t xml:space="preserve">AICTE Security Deposit &amp; FDR Management Portal</w:t>
      </w:r>
    </w:p>
    <w:p>
      <w:pPr>
        <w:spacing w:before="0" w:after="300"/>
      </w:pPr>
      <w:r>
        <w:rPr>
          <w:rFonts w:ascii="Segoe UI" w:hAnsi="Segoe UI"/>
          <w:i/>
          <w:sz w:val="22"/>
          <w:color w:val="64748B"/>
        </w:rPr>
        <w:t xml:space="preserve">Comprehensive Presentation Guide: Gemini Prompts, Diagrams, and Slide Content</w:t>
      </w:r>
    </w:p>
    <w:p>
      <w:pPr>
        <w:spacing w:before="0" w:after="260"/>
      </w:pPr>
      <w:r>
        <w:rPr>
          <w:rFonts w:ascii="Segoe UI" w:hAnsi="Segoe UI"/>
          <w:sz w:val="22"/>
          <w:color w:val="CBD5E1"/>
        </w:rPr>
        <w:t xml:space="preserve">=================================================================</w:t>
      </w:r>
    </w:p>
    <w:p>
      <w:pPr>
        <w:pStyle w:val="Heading1"/>
        <w:spacing w:before="0" w:after="120"/>
      </w:pPr>
      <w:r>
        <w:rPr>
          <w:rFonts w:ascii="Segoe UI" w:hAnsi="Segoe UI"/>
          <w:b/>
          <w:sz w:val="30"/>
          <w:color w:val="0F2744"/>
        </w:rPr>
        <w:t xml:space="preserve">PART 1: PPT SLIDE CONTENT</w:t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1. Proposed Solution (For Slide 1)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Centralized Digital Deposit Registry: </w:t>
      </w:r>
      <w:r>
        <w:rPr>
          <w:rFonts w:ascii="Segoe UI" w:hAnsi="Segoe UI"/>
          <w:color w:val="334155"/>
        </w:rPr>
        <w:t xml:space="preserve">Consolidates all institutional Fixed Deposit Receipts (FDRs) and joint lien endorsements from colleges nationwide into a unified, secure cloud repository.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Dual-Layer AI Document Scrutiny: </w:t>
      </w:r>
      <w:r>
        <w:rPr>
          <w:rFonts w:ascii="Segoe UI" w:hAnsi="Segoe UI"/>
          <w:color w:val="334155"/>
        </w:rPr>
        <w:t xml:space="preserve">Integrates PyMuPDF for native vector PDF text extraction and OpenCV-preprocessed Tesseract OCR for physical scanned receipts, eliminating manual data entry.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Automated Discrepancy &amp; Fraud Engine: </w:t>
      </w:r>
      <w:r>
        <w:rPr>
          <w:rFonts w:ascii="Segoe UI" w:hAnsi="Segoe UI"/>
          <w:color w:val="334155"/>
        </w:rPr>
        <w:t xml:space="preserve">Instantly compares uploaded receipt details against college-submitted forms, checking FDR numbers, amounts, maturity dates, and mandatory AICTE joint lien endorsement clauses.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Role-Based Workflow Automation: </w:t>
      </w:r>
      <w:r>
        <w:rPr>
          <w:rFonts w:ascii="Segoe UI" w:hAnsi="Segoe UI"/>
          <w:color w:val="334155"/>
        </w:rPr>
        <w:t xml:space="preserve">Provides dedicated portals with strict Role-Based Access Control (RBAC) for College Principals, AICTE Regional Scrutiny Officers, and Central Administrators.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Proactive Maturity Lifecycle Tracking: </w:t>
      </w:r>
      <w:r>
        <w:rPr>
          <w:rFonts w:ascii="Segoe UI" w:hAnsi="Segoe UI"/>
          <w:color w:val="334155"/>
        </w:rPr>
        <w:t xml:space="preserve">An automated background scheduler (APScheduler) constantly scans deposit maturity dates to trigger 60-day and 30-day alerts, preventing inadvertent deposit lapses.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Statutory Petition Management: </w:t>
      </w:r>
      <w:r>
        <w:rPr>
          <w:rFonts w:ascii="Segoe UI" w:hAnsi="Segoe UI"/>
          <w:color w:val="334155"/>
        </w:rPr>
        <w:t xml:space="preserve">Facilitates an end-to-end digital lifecycle for statutory FDR actions—including lien renewals, maturity extensions, and formal deposit release petitions upon college closure.</w:t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2. Innovative Approach (For Slide 1)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Dual-Engine Hybrid Document Processing: </w:t>
      </w:r>
      <w:r>
        <w:rPr>
          <w:rFonts w:ascii="Segoe UI" w:hAnsi="Segoe UI"/>
          <w:color w:val="334155"/>
        </w:rPr>
        <w:t xml:space="preserve">Intelligently branches incoming documents—using instant vector parsing for digital e-FDRs and multi-stage computer vision filtering (deskewing, binarization) for low-resolution scanned paper.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Automated Joint Lien Verification: </w:t>
      </w:r>
      <w:r>
        <w:rPr>
          <w:rFonts w:ascii="Segoe UI" w:hAnsi="Segoe UI"/>
          <w:color w:val="334155"/>
        </w:rPr>
        <w:t xml:space="preserve">Specifically scans for mandatory regulatory lien clauses ("Pledged in favor of All India Council for Technical Education"), red-flagging receipts that lack legal joint discharge authority.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Side-by-Side Discrepancy Highlighting: </w:t>
      </w:r>
      <w:r>
        <w:rPr>
          <w:rFonts w:ascii="Segoe UI" w:hAnsi="Segoe UI"/>
          <w:color w:val="334155"/>
        </w:rPr>
        <w:t xml:space="preserve">Generates an inline scrutiny audit card with field-level confidence scores, allowing officers to verify discrepancies and approve records in under 3 minutes.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Concurrent Scrutiny Concurrency Lock: </w:t>
      </w:r>
      <w:r>
        <w:rPr>
          <w:rFonts w:ascii="Segoe UI" w:hAnsi="Segoe UI"/>
          <w:color w:val="334155"/>
        </w:rPr>
        <w:t xml:space="preserve">Introduces an atomic start-review record-locking mechanism to prevent multiple regional officers from inspecting or taking conflicting actions on the same institutional file.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Tamper-Evident Regulatory Audit Trail: </w:t>
      </w:r>
      <w:r>
        <w:rPr>
          <w:rFonts w:ascii="Segoe UI" w:hAnsi="Segoe UI"/>
          <w:color w:val="334155"/>
        </w:rPr>
        <w:t xml:space="preserve">Every lifecycle transition (draft, upload, scrutiny lock, return for rectification, approval, petition) is permanently recorded with user identity, timestamp, and IP provenance.</w:t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3. Feasibility (For Slide 3)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Technical Feasibility: </w:t>
      </w:r>
      <w:r>
        <w:rPr>
          <w:rFonts w:ascii="Segoe UI" w:hAnsi="Segoe UI"/>
          <w:color w:val="334155"/>
        </w:rPr>
        <w:t xml:space="preserve">Built entirely on a hardened, production-proven stack (Python/Flask, React 19, SQLite/PostgreSQL, and open-source OCR tools) with zero proprietary licensing dependencies.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Operational Feasibility: </w:t>
      </w:r>
      <w:r>
        <w:rPr>
          <w:rFonts w:ascii="Segoe UI" w:hAnsi="Segoe UI"/>
          <w:color w:val="334155"/>
        </w:rPr>
        <w:t xml:space="preserve">Streamlined UI tailored for college administrators requires minimal digital literacy; clear step-by-step forms and instant OCR feedback reduce submission errors.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Security Feasibility: </w:t>
      </w:r>
      <w:r>
        <w:rPr>
          <w:rFonts w:ascii="Segoe UI" w:hAnsi="Segoe UI"/>
          <w:color w:val="334155"/>
        </w:rPr>
        <w:t xml:space="preserve">Implements defense-in-depth security including HttpOnly session cookies (SameSite=Lax), per-session CSRF token validation, input sanitization, and strict RBAC decorators.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Integration Feasibility: </w:t>
      </w:r>
      <w:r>
        <w:rPr>
          <w:rFonts w:ascii="Segoe UI" w:hAnsi="Segoe UI"/>
          <w:color w:val="334155"/>
        </w:rPr>
        <w:t xml:space="preserve">RESTful architecture enables direct plug-and-play integration with the AICTE National Approval Portal, NeGD DigiLocker, and commercial bank core-banking APIs.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Deployment Feasibility: </w:t>
      </w:r>
      <w:r>
        <w:rPr>
          <w:rFonts w:ascii="Segoe UI" w:hAnsi="Segoe UI"/>
          <w:color w:val="334155"/>
        </w:rPr>
        <w:t xml:space="preserve">Lightweight resource footprint allows zero-friction deployment on existing government infrastructure (NIC Cloud / MeghRaj or local on-premise servers).</w:t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4. Viability (For Slide 3)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Economic Viability: </w:t>
      </w:r>
      <w:r>
        <w:rPr>
          <w:rFonts w:ascii="Segoe UI" w:hAnsi="Segoe UI"/>
          <w:color w:val="334155"/>
        </w:rPr>
        <w:t xml:space="preserve">Eliminates recurring licensing costs by leveraging open-source ML and web frameworks; drastically cuts administrative expenses associated with physical courier handling and physical paper archives.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Regulatory Viability: </w:t>
      </w:r>
      <w:r>
        <w:rPr>
          <w:rFonts w:ascii="Segoe UI" w:hAnsi="Segoe UI"/>
          <w:color w:val="334155"/>
        </w:rPr>
        <w:t xml:space="preserve">100% compliant with the statutory mandates of the AICTE Approval Process Handbook (APH) and Reserve Bank of India (RBI) lien-marking guidelines.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Scalability Viability: </w:t>
      </w:r>
      <w:r>
        <w:rPr>
          <w:rFonts w:ascii="Segoe UI" w:hAnsi="Segoe UI"/>
          <w:color w:val="334155"/>
        </w:rPr>
        <w:t xml:space="preserve">Architected to handle 10,000+ technical institutions, 50,000+ active FDR endorsements, and thousands of concurrent scrutiny requests during peak annual approval cycles.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Institutional Viability: </w:t>
      </w:r>
      <w:r>
        <w:rPr>
          <w:rFonts w:ascii="Segoe UI" w:hAnsi="Segoe UI"/>
          <w:color w:val="334155"/>
        </w:rPr>
        <w:t xml:space="preserve">Establishes clear accountability between participating banks, colleges, and regional AICTE bureaus through digitized confirmation receipts.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Environmental Viability: </w:t>
      </w:r>
      <w:r>
        <w:rPr>
          <w:rFonts w:ascii="Segoe UI" w:hAnsi="Segoe UI"/>
          <w:color w:val="334155"/>
        </w:rPr>
        <w:t xml:space="preserve">Achieves a zero-paper regulatory process, saving tons of physical paper, printing supplies, and transit emissions each year.</w:t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5. Potential Risks &amp; Mitigation Strategies (For Slide 3 Table)</w:t>
      </w:r>
    </w:p>
    <w:tbl>
      <w:tblPr>
        <w:tblW w:w="9600" w:type="dxa"/>
        <w:tblBorders>
          <w:top w:val="single" w:sz="8" w:space="0" w:color="CBD5E1"/>
          <w:left w:val="none"/>
          <w:bottom w:val="single" w:sz="8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shd w:val="clear" w:color="auto" w:fill="0F2744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Potential Risk</w:t>
            </w:r>
          </w:p>
        </w:tc>
        <w:tc>
          <w:tcPr>
            <w:shd w:val="clear" w:color="auto" w:fill="0F2744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Poor-Quality / Blurry Scanned Receipts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Apply OpenCV preprocessing (adaptive thresholding, noise removal, deskewing) before Tesseract OCR; provide human fallback review for low-confidence scores.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Missing or Fraudulent Joint Lien Endorsements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NLP &amp; Regex matching scans for mandatory AICTE joint pledge keywords; flag submissions lacking authorized bank seal/signature.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Discrepancy Disputes Between College &amp; OCR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Present an interactive side-by-side verification report allowing officers to view original documents alongside extracted metadata with inline override options.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Scrutiny Bottlenecks &amp; Officer Backlog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Implement atomic review locks (start-review) to distribute caseloads efficiently; automated pre-screening cuts scrutiny time from 45 minutes to under 3 minutes per file.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Missed Maturity &amp; Lapsed FDRs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APScheduler background engine scans daily and dispatches automated 60-day, 30-day, and 7-day email/portal alerts to both colleges and regional officers.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Unauthorized Access &amp; Data Tampering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Protect endpoints with HttpOnly session cookies, CSRF tokens, strict RBAC, encrypted document storage, and append-only audit logging.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Bank Lien Coordination Delays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  <w:color w:val="334155"/>
              </w:rPr>
              <w:t>Provide dedicated Bank Verification Portals and secure verification APIs to confirm joint lien status directly with issuing financial institutions.</w:t>
            </w:r>
          </w:p>
        </w:tc>
      </w:tr>
    </w:tbl>
    <w:p>
      <w:pPr>
        <w:spacing w:before="0" w:after="160"/>
      </w:pPr>
      <w:r>
        <w:rPr>
          <w:rFonts w:ascii="Segoe UI" w:hAnsi="Segoe UI"/>
          <w:sz w:val="22"/>
          <w:color w:val="1E293B"/>
        </w:rPr>
        <w:t xml:space="preserve"/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6. Strategic Impacts (For Slide 4)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Zero Revenue &amp; Security Leakage: </w:t>
      </w:r>
      <w:r>
        <w:rPr>
          <w:rFonts w:ascii="Segoe UI" w:hAnsi="Segoe UI"/>
          <w:color w:val="334155"/>
        </w:rPr>
        <w:t xml:space="preserve">Closes regulatory loopholes by ensuring no institution operates without a legally pledged, active, and verified joint lien security deposit.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85% Reduction in Scrutiny Turnaround Time: </w:t>
      </w:r>
      <w:r>
        <w:rPr>
          <w:rFonts w:ascii="Segoe UI" w:hAnsi="Segoe UI"/>
          <w:color w:val="334155"/>
        </w:rPr>
        <w:t xml:space="preserve">Transforms an intensive multi-week physical verification process into rapid, same-day digital scrutiny.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100% Proactive Maturity Tracking: </w:t>
      </w:r>
      <w:r>
        <w:rPr>
          <w:rFonts w:ascii="Segoe UI" w:hAnsi="Segoe UI"/>
          <w:color w:val="334155"/>
        </w:rPr>
        <w:t xml:space="preserve">Eliminates unmonitored FDR expirations, ensuring deposits are either renewed on time or recovered before maturity.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Elimination of Physical Paper Archives: </w:t>
      </w:r>
      <w:r>
        <w:rPr>
          <w:rFonts w:ascii="Segoe UI" w:hAnsi="Segoe UI"/>
          <w:color w:val="334155"/>
        </w:rPr>
        <w:t xml:space="preserve">Removes the burden of managing and securing thousands of physical paper FDR bonds across regional AICTE offices.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Transparent &amp; Accountable Governance: </w:t>
      </w:r>
      <w:r>
        <w:rPr>
          <w:rFonts w:ascii="Segoe UI" w:hAnsi="Segoe UI"/>
          <w:color w:val="334155"/>
        </w:rPr>
        <w:t xml:space="preserve">Eliminates officer bias and administrative bottlenecks through complete digital traceability and public-facing petition timelines.</w:t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7. Tangible Benefits (For Slide 4)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One Unified Portal: </w:t>
      </w:r>
      <w:r>
        <w:rPr>
          <w:rFonts w:ascii="Segoe UI" w:hAnsi="Segoe UI"/>
          <w:color w:val="334155"/>
        </w:rPr>
        <w:t xml:space="preserve">Replaces fragmented physical registers, emails, and regional silos with a single central institutional ledger.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Instant OCR Discrepancy Highlighting: </w:t>
      </w:r>
      <w:r>
        <w:rPr>
          <w:rFonts w:ascii="Segoe UI" w:hAnsi="Segoe UI"/>
          <w:color w:val="334155"/>
        </w:rPr>
        <w:t xml:space="preserve">Flags mismatched FDR numbers, amounts, or incorrect lock-in tenors before an officer even opens the file.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Frictionless Renewal &amp; Release Petitions: </w:t>
      </w:r>
      <w:r>
        <w:rPr>
          <w:rFonts w:ascii="Segoe UI" w:hAnsi="Segoe UI"/>
          <w:color w:val="334155"/>
        </w:rPr>
        <w:t xml:space="preserve">Colleges can initiate statutory renewals or release requests online with clear real-time progress indicators.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Automated Expiry &amp; Compliance Alerts: </w:t>
      </w:r>
      <w:r>
        <w:rPr>
          <w:rFonts w:ascii="Segoe UI" w:hAnsi="Segoe UI"/>
          <w:color w:val="334155"/>
        </w:rPr>
        <w:t xml:space="preserve">Never miss a critical regulatory deadline with automated cron-based email and dashboard notifications.</w:t>
      </w:r>
    </w:p>
    <w:p>
      <w:pPr>
        <w:spacing w:after="120"/>
        <w:ind w:left="480" w:hanging="240"/>
      </w:pPr>
      <w:r>
        <w:rPr>
          <w:rFonts w:ascii="Symbol"/>
          <w:color w:val="2563EB"/>
          <w:b/>
        </w:rPr>
        <w:t>• </w:t>
      </w:r>
      <w:r>
        <w:rPr>
          <w:rFonts w:ascii="Segoe UI" w:hAnsi="Segoe UI"/>
          <w:b/>
          <w:color w:val="0F2744"/>
        </w:rPr>
        <w:t xml:space="preserve">One-Click Statutory Compliance Reporting: </w:t>
      </w:r>
      <w:r>
        <w:rPr>
          <w:rFonts w:ascii="Segoe UI" w:hAnsi="Segoe UI"/>
          <w:color w:val="334155"/>
        </w:rPr>
        <w:t xml:space="preserve">Finance officers and apex directors can export institution-wise, bank-wise, or state-wise audit reports to CSV/Excel instantly.</w:t>
      </w:r>
    </w:p>
    <w:p>
      <w:pPr>
        <w:pStyle w:val="Heading1"/>
        <w:spacing w:before="0" w:after="120"/>
      </w:pPr>
      <w:r>
        <w:rPr>
          <w:rFonts w:ascii="Segoe UI" w:hAnsi="Segoe UI"/>
          <w:b/>
          <w:sz w:val="30"/>
          <w:color w:val="0F2744"/>
        </w:rPr>
        <w:t xml:space="preserve">PART 2: READY-TO-USE GEMINI PROMPTS FOR DIAGRAMS</w:t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Prompt 1: User &amp; System Workflow (Slide 1)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Act as an Expert Presentation Designer and SVG Graphic Specialist for a Smart India Hackathon (SIH 2026) deck.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a complete, production-ready, beautiful SVG graphic for our slide diagram titled: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"AICTE Security Deposit &amp; FDR Management Platform – User &amp; System Workflow"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Design Guidelines: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- Canvas: 16:9 widescreen layout (viewBox="0 0 1200 680"), crisp white/light-gray background (#F8FAFC).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- Structure: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1. Top Header: "Start: AICTE Security Deposit Portal" -&gt; "Select User Role"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2. Four Distinct Columns: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  - Col 1 (Blue): Technical Institutions (Login -&gt; Dashboard -&gt; Upload FDR &amp; Joint Lien -&gt; Live Tracking -&gt; Renewal/Release Petitions)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  - Col 2 (Green): AICTE Scrutiny Officers (Govt Auth -&gt; Scrutiny Command Center -&gt; Claim &amp; Lock Record -&gt; Inspect AI-OCR Discrepancy -&gt; Approve/Rectify/Reject)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  - Col 3 (Purple): AICTE Admin &amp; Finance (Admin Auth -&gt; Oversight Hub -&gt; Institution-wide Tracking -&gt; Automated 30-Day Scanning -&gt; Audit Logs &amp; CSV)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  - Col 4 (Amber): Bank Verification Channel (Bank Portal/API -&gt; Lien Verification -&gt; Confirm Joint Lien -&gt; Encashment Clearance)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3. Bottom Unified Impact Card: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  "Unified Impact: 100% Digitized Regulatory Oversight • Fraud-Proof Joint Lien Endorsements • Zero Missed Maturities"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Output strictly valid, self-contained SVG code inside an XML code block.</w:t>
      </w:r>
    </w:p>
    <w:p>
      <w:pPr>
        <w:spacing w:before="0" w:after="120"/>
      </w:pPr>
      <w:r>
        <w:rPr>
          <w:rFonts w:ascii="Segoe UI" w:hAnsi="Segoe UI"/>
          <w:sz w:val="22"/>
          <w:color w:val="1E293B"/>
        </w:rPr>
        <w:t xml:space="preserve"/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Prompt 2: Technical Architecture &amp; AI Scrutiny Pipeline (Slide 2)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Act as a Principal Solution Architect and SVG Designer for a Smart India Hackathon presentation slide titled: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"TECHNICAL APPROACH: Architecture &amp; Automated Document Scrutiny Pipeline"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a two-column SVG vector diagram (widescreen viewBox="0 0 1200 650"):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Left Column (55% width): "System Technical Architecture"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- Top: Client Layer -&gt; React 19 + Vite SPA (Institutional Slate/Navy UI) + Axios CSRF Interceptor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- Middle 1: API Gateway -&gt; Python Flask RESTful API + Cookie Session Auth (aicte_session) + RBAC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- Middle 2: Core Engine Grid (Dual-Layer OCR [PyMuPDF + Tesseract], Discrepancy Engine, APScheduler Engine)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- Bottom: Persistence Layer -&gt; SQLAlchemy ORM (SQLite / PostgreSQL) + Document Storage &amp; Audit Logs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Right Column (40% width): "AI-Assisted Scrutiny Pipeline"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- Numbered vertical pill steps connected with glowing downward arrows: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1. [Upload] FDR Certificate &amp; Lien Endorsement Letter (PDF/JPG)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2. [Inspection] Format Detection: Digital Vector PDF vs Scanned Bitmap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3. [Extraction] PyMuPDF Text Stream OR OpenCV Preprocessing + Tesseract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4. [Verification] Regex &amp; Entity Parser extracts FDR#, Amount, Dates, Joint Lien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5. [Discrepancy Match] Auto-compare with College Form Data (Confidence Score)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6. [Decision Interface] Side-by-Side Review for Scrutiny Officer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7. [Status Transition] 1-Click Verification / Rectification / Rejection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Return strictly raw, valid SVG code inside an XML code block.</w:t>
      </w:r>
    </w:p>
    <w:p>
      <w:pPr>
        <w:spacing w:before="0" w:after="120"/>
      </w:pPr>
      <w:r>
        <w:rPr>
          <w:rFonts w:ascii="Segoe UI" w:hAnsi="Segoe UI"/>
          <w:sz w:val="22"/>
          <w:color w:val="1E293B"/>
        </w:rPr>
        <w:t xml:space="preserve"/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Prompt 3: Technology Stack Banner Strip (Slide 2 Bottom — PNG Image)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a high-resolution, ultra-crisp horizontal banner PNG image of a modern "Technology Stack" pill container for a Smart India Hackathon presentation slide.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Aspect Ratio: Wide horizontal strip (5:1 ratio), clean white/transparent background.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Container: Sleek rounded-corner container divided into 4 equal compartments with vertical divider lines: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1. Compartment 1: "AI, OCR &amp; Document Scrutiny" (Logos/Badges: Python, Tesseract OCR, PyMuPDF, OpenCV, Pillow)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2. Compartment 2: "Backend &amp; Database Engine" (Logos/Badges: Flask, SQLAlchemy, SQLite &amp; PostgreSQL, APScheduler)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3. Compartment 3: "Security, Auth &amp; Compliance" (Logos/Badges: CSRF Shield, HttpOnly Cookie Auth, RBAC, Audit Logging)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4. Compartment 4: "Frontend &amp; User Interface" (Logos/Badges: React 19, Vite, Tailwind CSS, Axios, JavaScript ES6+)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this as a clean, complete, horizontal banner PNG image.</w:t>
      </w:r>
    </w:p>
    <w:p>
      <w:pPr>
        <w:spacing w:before="0" w:after="120"/>
      </w:pPr>
      <w:r>
        <w:rPr>
          <w:rFonts w:ascii="Segoe UI" w:hAnsi="Segoe UI"/>
          <w:sz w:val="22"/>
          <w:color w:val="1E293B"/>
        </w:rPr>
        <w:t xml:space="preserve"/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Prompt 4: Impacts &amp; Benefits Infographic (Slide 4 — PNG Image)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a high-resolution, ultra-crisp 16:9 presentation infographic PNG image titled: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"IMPACTS &amp; BENEFITS: AICTE Security Deposit &amp; FDR Management Portal"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Style: 16:9 Widescreen slide infographic, clean white/slate background (#F8FAFC), modern enterprise SaaS/Government portal aesthetic with sleek glassmorphism cards and drop shadows.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3 Vertical Columns: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1. Left (28%): "WHO THE PLATFORM SERVES"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Technical Institutions (Colleges &amp; Universities)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AICTE Scrutiny Officers (Regional Bureaus)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AICTE Apex Administration &amp; Finance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Commercial &amp; Regional Banks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2. Middle (36%): "STRATEGIC IMPACTS" (Navy Blue container)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Zero Lien Leakage (eliminates unendorsed deposits)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- 85% Faster Scrutiny Turnaround (hours to seconds)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Proactive Expiry Prevention (30/60-day alerts)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- 100% Transparent Governance (tamper-evident audit logs)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Paperless Institutional Process (replaces physical postal files)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3. Right (36%): "TANGIBLE BENEFITS" (Emerald Green container)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Centralized Regulatory Registry (unified digital ledger)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Automated OCR Discrepancy Highlighting (instant flags)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Automated Statutory Notices (timely expiry warnings)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Enterprise-Grade Portal Security (RBAC, CSRF, Session hardening)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   - 1-Click CSV/Excel Audit Export (instant reports for ministry)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this as a clean, complete, presentation-ready 16:9 PNG image.</w:t>
      </w:r>
    </w:p>
    <w:p>
      <w:pPr>
        <w:spacing w:before="0" w:after="120"/>
      </w:pPr>
      <w:r>
        <w:rPr>
          <w:rFonts w:ascii="Segoe UI" w:hAnsi="Segoe UI"/>
          <w:sz w:val="22"/>
          <w:color w:val="1E293B"/>
        </w:rPr>
        <w:t xml:space="preserve"/>
      </w:r>
    </w:p>
    <w:p>
      <w:pPr>
        <w:pStyle w:val="Heading2"/>
        <w:spacing w:before="0" w:after="120"/>
      </w:pPr>
      <w:r>
        <w:rPr>
          <w:rFonts w:ascii="Segoe UI" w:hAnsi="Segoe UI"/>
          <w:b/>
          <w:sz w:val="24"/>
          <w:color w:val="2563EB"/>
        </w:rPr>
        <w:t xml:space="preserve">Prompt 5: Research &amp; Statutory References Matrix (Slide 5 — PNG Image)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a high-resolution, ultra-crisp 16:9 presentation slide PNG image titled: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"RESEARCH AND STATUTORY REFERENCES: AICTE FDR Management Portal"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Style: 16:9 Widescreen presentation slide graphic, minimalist light background (#F8FAFC), modern enterprise data table with deep navy header bar, clean alternating rows, and sleek badge pills.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4-Column Table: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Headers: [Regulatory Standard / Source] | [Statutory Mandate] | [Portal Technical Implementation] | [Compliance Baseline]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Row 1: AICTE Approval Process Handbook (APH 2024–27) | Mandatory Security Deposit &amp; Joint Lien | Automated joint lien validation | Chapter 1 &amp; 2 Norms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Row 2: Reserve Bank of India (RBI) Lien Guidelines | Joint Discharge &amp; Lien Marking Norms | Cross-checks bank IFSC, deposit tenor, discharge text | Banking Regulation Act Sec 45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Row 3: PyMuPDF &amp; Tesseract 5.0 OCR Research | Dual-Layer Document Ingestion | Vector PDF parsing + OpenCV OCR | IEEE / Open-Source OCR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Row 4: CERT-In &amp; OWASP ASVS Security Guidelines | Web Portal Session &amp; Access Security | HttpOnly session cookies, CSRF tokens, strict RBAC | OWASP Top 10 Standards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Row 5: Digital India &amp; Paperless Governance | Digitization of Security Bonds | Replaces physical paper registers across AICTE Bureaus | National e-Governance Plan</w:t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pBdr>
          <w:left w:val="single" w:sz="18" w:space="8" w:color="2563EB"/>
        </w:pBdr>
        <w:shd w:val="clear" w:color="auto" w:fill="F1F5F9"/>
        <w:spacing w:before="20" w:after="20"/>
        <w:ind w:left="240" w:right="240"/>
      </w:pPr>
      <w:r>
        <w:rPr>
          <w:rFonts w:ascii="Consolas" w:hAnsi="Consolas"/>
          <w:sz w:val="18"/>
          <w:color w:val="0F172A"/>
        </w:rPr>
        <w:t xml:space="preserve">Generate this as a clean, complete, presentation-ready 16:9 PNG image.</w:t>
      </w:r>
    </w:p>
    <w:p>
      <w:pPr>
        <w:spacing w:before="0" w:after="200"/>
      </w:pPr>
      <w:r>
        <w:rPr>
          <w:rFonts w:ascii="Segoe UI" w:hAnsi="Segoe UI"/>
          <w:sz w:val="22"/>
          <w:color w:val="1E293B"/>
        </w:rP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1E293B"/>
      </w:rPr>
    </w:rPrDefault>
  </w:docDefaults>
  <w:style w:type="paragraph" w:styleId="Heading1">
    <w:name w:val="Heading 1"/>
    <w:pPr>
      <w:spacing w:before="360" w:after="160"/>
    </w:pPr>
    <w:rPr>
      <w:rFonts w:ascii="Segoe UI Semibold" w:hAnsi="Segoe UI Semibold"/>
      <w:b/>
      <w:sz w:val="34"/>
      <w:color w:val="0F2744"/>
    </w:rPr>
  </w:style>
  <w:style w:type="paragraph" w:styleId="Heading2">
    <w:name w:val="Heading 2"/>
    <w:pPr>
      <w:spacing w:before="260" w:after="120"/>
    </w:pPr>
    <w:rPr>
      <w:rFonts w:ascii="Segoe UI Semibold" w:hAnsi="Segoe UI Semibold"/>
      <w:b/>
      <w:sz w:val="26"/>
      <w:color w:val="2563E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